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8001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800100" cy="571500"/>
                    </a:xfrm>
                    <a:prstGeom prst="rect">
                      <a:avLst/>
                    </a:prstGeom>
                  </pic:spPr>
                </pic:pic>
              </a:graphicData>
            </a:graphic>
          </wp:inline>
        </w:drawing>
      </w:r>
    </w:p>
    <w:p>
      <w:pPr>
        <w:pStyle w:val="Title"/>
      </w:pPr>
      <w:r>
        <w:rPr>
          <w:highlight w:val="yellow"/>
        </w:rPr>
        <w:t xml:space="preserve">[Company Name]</w:t>
      </w:r>
      <w:r>
        <w:t xml:space="preserve"> Leave Policy</w:t>
      </w:r>
    </w:p>
    <w:p>
      <w:pPr>
        <w:spacing w:after="120" w:line="300"/>
      </w:pPr>
      <w:r>
        <w:rPr>
          <w:i/>
          <w:iCs/>
          <w:color w:val="5C6574"/>
        </w:rPr>
        <w:t xml:space="preserve">Template for Indian companies, aligned with the labour codes in force from 21 November 2025</w:t>
      </w:r>
    </w:p>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FFB539" w:sz="24"/>
              <w:bottom w:val="none" w:color="FFFFFF" w:sz="0"/>
              <w:right w:val="none" w:color="FFFFFF" w:sz="0"/>
            </w:tcBorders>
            <w:shd w:fill="FFF6E0" w:color="auto" w:val="clear"/>
            <w:tcMar>
              <w:top w:type="dxa" w:w="140"/>
              <w:left w:type="dxa" w:w="220"/>
              <w:bottom w:type="dxa" w:w="140"/>
              <w:right w:type="dxa" w:w="220"/>
            </w:tcMar>
          </w:tcPr>
          <w:p>
            <w:pPr>
              <w:spacing w:after="80" w:line="280"/>
            </w:pPr>
            <w:r>
              <w:rPr>
                <w:b/>
                <w:bCs/>
                <w:sz w:val="20"/>
                <w:szCs w:val="20"/>
              </w:rPr>
              <w:t xml:space="preserve">How to use this template (delete this box before publishing)</w:t>
            </w:r>
          </w:p>
          <w:p>
            <w:pPr>
              <w:spacing w:after="80" w:line="280"/>
            </w:pPr>
            <w:r>
              <w:rPr>
                <w:b w:val="false"/>
                <w:bCs w:val="false"/>
                <w:sz w:val="20"/>
                <w:szCs w:val="20"/>
              </w:rPr>
              <w:t xml:space="preserve">Replace everything highlighted in yellow, such as </w:t>
            </w:r>
            <w:r>
              <w:rPr>
                <w:b w:val="false"/>
                <w:bCs w:val="false"/>
                <w:sz w:val="20"/>
                <w:szCs w:val="20"/>
                <w:highlight w:val="yellow"/>
              </w:rPr>
              <w:t xml:space="preserve">[Company Name]</w:t>
            </w:r>
            <w:r>
              <w:rPr>
                <w:b w:val="false"/>
                <w:bCs w:val="false"/>
                <w:sz w:val="20"/>
                <w:szCs w:val="20"/>
              </w:rPr>
              <w:t xml:space="preserve"> and </w:t>
            </w:r>
            <w:r>
              <w:rPr>
                <w:b w:val="false"/>
                <w:bCs w:val="false"/>
                <w:sz w:val="20"/>
                <w:szCs w:val="20"/>
                <w:highlight w:val="yellow"/>
              </w:rPr>
              <w:t xml:space="preserve">[7]</w:t>
            </w:r>
            <w:r>
              <w:rPr>
                <w:b w:val="false"/>
                <w:bCs w:val="false"/>
                <w:sz w:val="20"/>
                <w:szCs w:val="20"/>
              </w:rPr>
              <w:t xml:space="preserve"> days, with your own details. Numbers in brackets are common choices, not legal requirements, unless the text says the law requires them.</w:t>
            </w:r>
          </w:p>
          <w:p>
            <w:pPr>
              <w:spacing w:after="80" w:line="280"/>
            </w:pPr>
            <w:r>
              <w:rPr>
                <w:b w:val="false"/>
                <w:bCs w:val="false"/>
                <w:sz w:val="20"/>
                <w:szCs w:val="20"/>
              </w:rPr>
              <w:t xml:space="preserve">Leave law in India also depends on your state. Check your state's Shops and Establishments Act and rules, and where a law gives employees more than this policy, follow the law.</w:t>
            </w:r>
          </w:p>
          <w:p>
            <w:pPr>
              <w:spacing w:after="80" w:line="280"/>
            </w:pPr>
            <w:r>
              <w:rPr>
                <w:b w:val="false"/>
                <w:bCs w:val="false"/>
                <w:sz w:val="20"/>
                <w:szCs w:val="20"/>
              </w:rPr>
              <w:t xml:space="preserve">This template is general information, not legal advice. Prepared by Gizmosys Solutions (gizmosyssolutions.com).</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D9DEE4" w:sz="4"/>
              <w:left w:val="single" w:color="D9DEE4" w:sz="4"/>
              <w:bottom w:val="single" w:color="D9DEE4" w:sz="4"/>
              <w:right w:val="single" w:color="D9DEE4" w:sz="4"/>
            </w:tcBorders>
            <w:shd w:fill="04B4E4" w:color="auto" w:val="clear"/>
            <w:tcMar>
              <w:top w:type="dxa" w:w="90"/>
              <w:left w:type="dxa" w:w="120"/>
              <w:bottom w:type="dxa" w:w="90"/>
              <w:right w:type="dxa" w:w="120"/>
            </w:tcMar>
          </w:tcPr>
          <w:p>
            <w:r>
              <w:rPr>
                <w:b/>
                <w:bCs/>
                <w:color w:val="FFFFFF"/>
                <w:sz w:val="20"/>
                <w:szCs w:val="20"/>
              </w:rPr>
              <w:t xml:space="preserve">Document</w:t>
            </w:r>
          </w:p>
        </w:tc>
        <w:tc>
          <w:tcPr>
            <w:tcW w:type="dxa" w:w="6426"/>
            <w:tcBorders>
              <w:top w:val="single" w:color="D9DEE4" w:sz="4"/>
              <w:left w:val="single" w:color="D9DEE4" w:sz="4"/>
              <w:bottom w:val="single" w:color="D9DEE4" w:sz="4"/>
              <w:right w:val="single" w:color="D9DEE4" w:sz="4"/>
            </w:tcBorders>
            <w:shd w:fill="04B4E4" w:color="auto" w:val="clear"/>
            <w:tcMar>
              <w:top w:type="dxa" w:w="90"/>
              <w:left w:type="dxa" w:w="120"/>
              <w:bottom w:type="dxa" w:w="90"/>
              <w:right w:type="dxa" w:w="120"/>
            </w:tcMar>
          </w:tcPr>
          <w:p>
            <w:r>
              <w:rPr>
                <w:b/>
                <w:bCs/>
                <w:color w:val="FFFFFF"/>
                <w:sz w:val="20"/>
                <w:szCs w:val="20"/>
              </w:rPr>
              <w:t xml:space="preserve">Details</w:t>
            </w:r>
          </w:p>
        </w:tc>
      </w:tr>
      <w:tr>
        <w:trPr>
          <w:tblHeader w:val="off"/>
        </w:trPr>
        <w:tc>
          <w:tcPr>
            <w:tcW w:type="dxa" w:w="26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Policy owner</w:t>
            </w:r>
          </w:p>
        </w:tc>
        <w:tc>
          <w:tcPr>
            <w:tcW w:type="dxa" w:w="6426"/>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highlight w:val="yellow"/>
              </w:rPr>
              <w:t xml:space="preserve">[HR Department]</w:t>
            </w:r>
          </w:p>
        </w:tc>
      </w:tr>
      <w:tr>
        <w:trPr>
          <w:tblHeader w:val="off"/>
        </w:trPr>
        <w:tc>
          <w:tcPr>
            <w:tcW w:type="dxa" w:w="26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Applies to</w:t>
            </w:r>
          </w:p>
        </w:tc>
        <w:tc>
          <w:tcPr>
            <w:tcW w:type="dxa" w:w="64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highlight w:val="yellow"/>
              </w:rPr>
              <w:t xml:space="preserve">[All employees on the company payroll in India]</w:t>
            </w:r>
          </w:p>
        </w:tc>
      </w:tr>
      <w:tr>
        <w:trPr>
          <w:tblHeader w:val="off"/>
        </w:trPr>
        <w:tc>
          <w:tcPr>
            <w:tcW w:type="dxa" w:w="26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Effective date</w:t>
            </w:r>
          </w:p>
        </w:tc>
        <w:tc>
          <w:tcPr>
            <w:tcW w:type="dxa" w:w="6426"/>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highlight w:val="yellow"/>
              </w:rPr>
              <w:t xml:space="preserve">[1 January 2027]</w:t>
            </w:r>
          </w:p>
        </w:tc>
      </w:tr>
      <w:tr>
        <w:trPr>
          <w:tblHeader w:val="off"/>
        </w:trPr>
        <w:tc>
          <w:tcPr>
            <w:tcW w:type="dxa" w:w="26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Version</w:t>
            </w:r>
          </w:p>
        </w:tc>
        <w:tc>
          <w:tcPr>
            <w:tcW w:type="dxa" w:w="64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highlight w:val="yellow"/>
              </w:rPr>
              <w:t xml:space="preserve">[1.0]</w:t>
            </w:r>
          </w:p>
        </w:tc>
      </w:tr>
      <w:tr>
        <w:trPr>
          <w:tblHeader w:val="off"/>
        </w:trPr>
        <w:tc>
          <w:tcPr>
            <w:tcW w:type="dxa" w:w="26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Approved by</w:t>
            </w:r>
          </w:p>
        </w:tc>
        <w:tc>
          <w:tcPr>
            <w:tcW w:type="dxa" w:w="6426"/>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highlight w:val="yellow"/>
              </w:rPr>
              <w:t xml:space="preserve">[Name, Designation]</w:t>
            </w:r>
          </w:p>
        </w:tc>
      </w:tr>
    </w:tbl>
    <w:p>
      <w:pPr>
        <w:pStyle w:val="Heading1"/>
      </w:pPr>
      <w:r>
        <w:t xml:space="preserve">1. Purpose</w:t>
      </w:r>
    </w:p>
    <w:p>
      <w:pPr>
        <w:spacing w:after="120" w:line="300"/>
      </w:pPr>
      <w:r>
        <w:t xml:space="preserve">This policy explains the types of leave available at </w:t>
      </w:r>
      <w:r>
        <w:rPr>
          <w:highlight w:val="yellow"/>
        </w:rPr>
        <w:t xml:space="preserve">[Company Name]</w:t>
      </w:r>
      <w:r>
        <w:t xml:space="preserve">, how leave is earned, applied for and approved, and how unused leave is carried forward or encashed. It aims to be fair, clear and compliant with the Occupational Safety, Health and Working Conditions Code, 2020, the Code on Social Security, 2020, the Code on Wages, 2019 and the applicable state laws.</w:t>
      </w:r>
    </w:p>
    <w:p>
      <w:pPr>
        <w:pStyle w:val="Heading1"/>
      </w:pPr>
      <w:r>
        <w:t xml:space="preserve">2. Scope</w:t>
      </w:r>
    </w:p>
    <w:p>
      <w:pPr>
        <w:spacing w:after="120" w:line="300"/>
      </w:pPr>
      <w:r>
        <w:t xml:space="preserve">This policy applies to all </w:t>
      </w:r>
      <w:r>
        <w:rPr>
          <w:highlight w:val="yellow"/>
        </w:rPr>
        <w:t xml:space="preserve">[permanent, probationary and fixed-term]</w:t>
      </w:r>
      <w:r>
        <w:t xml:space="preserve"> employees of </w:t>
      </w:r>
      <w:r>
        <w:rPr>
          <w:highlight w:val="yellow"/>
        </w:rPr>
        <w:t xml:space="preserve">[Company Name]</w:t>
      </w:r>
      <w:r>
        <w:t xml:space="preserve"> in India. Trainees, interns and consultants are covered only as stated in their contracts.</w:t>
      </w:r>
    </w:p>
    <w:p>
      <w:pPr>
        <w:pStyle w:val="Heading1"/>
      </w:pPr>
      <w:r>
        <w:t xml:space="preserve">3. Leave year</w:t>
      </w:r>
    </w:p>
    <w:p>
      <w:pPr>
        <w:spacing w:after="120" w:line="300"/>
      </w:pPr>
      <w:r>
        <w:t xml:space="preserve">The leave year is the </w:t>
      </w:r>
      <w:r>
        <w:rPr>
          <w:highlight w:val="yellow"/>
        </w:rPr>
        <w:t xml:space="preserve">[calendar year, 1 January to 31 December]</w:t>
      </w:r>
      <w:r>
        <w:t xml:space="preserve">. Leave balances, carry forward and year-end encashment are calculated at the end of each leave year.</w:t>
      </w:r>
    </w:p>
    <w:p>
      <w:pPr>
        <w:pStyle w:val="Heading1"/>
      </w:pPr>
      <w:r>
        <w:t xml:space="preserve">4. Summary of leave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2500"/>
        <w:gridCol w:w="2100"/>
        <w:gridCol w:w="2126"/>
      </w:tblGrid>
      <w:tr>
        <w:trPr>
          <w:tblHeader/>
        </w:trPr>
        <w:tc>
          <w:tcPr>
            <w:tcW w:type="dxa" w:w="23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r>
              <w:rPr>
                <w:b/>
                <w:bCs/>
                <w:color w:val="FFFFFF"/>
                <w:sz w:val="20"/>
                <w:szCs w:val="20"/>
              </w:rPr>
              <w:t xml:space="preserve">Leave type</w:t>
            </w:r>
          </w:p>
        </w:tc>
        <w:tc>
          <w:tcPr>
            <w:tcW w:type="dxa" w:w="25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r>
              <w:rPr>
                <w:b/>
                <w:bCs/>
                <w:color w:val="FFFFFF"/>
                <w:sz w:val="20"/>
                <w:szCs w:val="20"/>
              </w:rPr>
              <w:t xml:space="preserve">Entitlement</w:t>
            </w:r>
          </w:p>
        </w:tc>
        <w:tc>
          <w:tcPr>
            <w:tcW w:type="dxa" w:w="2100"/>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r>
              <w:rPr>
                <w:b/>
                <w:bCs/>
                <w:color w:val="FFFFFF"/>
                <w:sz w:val="20"/>
                <w:szCs w:val="20"/>
              </w:rPr>
              <w:t xml:space="preserve">Carry forward</w:t>
            </w:r>
          </w:p>
        </w:tc>
        <w:tc>
          <w:tcPr>
            <w:tcW w:type="dxa" w:w="2126"/>
            <w:tcBorders>
              <w:top w:val="single" w:color="D9DEE4" w:sz="4"/>
              <w:left w:val="single" w:color="D9DEE4" w:sz="4"/>
              <w:bottom w:val="single" w:color="D9DEE4" w:sz="4"/>
              <w:right w:val="single" w:color="D9DEE4" w:sz="4"/>
            </w:tcBorders>
            <w:shd w:fill="1F1F1F" w:color="auto" w:val="clear"/>
            <w:tcMar>
              <w:top w:type="dxa" w:w="90"/>
              <w:left w:type="dxa" w:w="120"/>
              <w:bottom w:type="dxa" w:w="90"/>
              <w:right w:type="dxa" w:w="120"/>
            </w:tcMar>
          </w:tcPr>
          <w:p>
            <w:r>
              <w:rPr>
                <w:b/>
                <w:bCs/>
                <w:color w:val="FFFFFF"/>
                <w:sz w:val="20"/>
                <w:szCs w:val="20"/>
              </w:rPr>
              <w:t xml:space="preserve">Encashment</w:t>
            </w:r>
          </w:p>
        </w:tc>
      </w:tr>
      <w:tr>
        <w:trPr>
          <w:tblHeader w:val="off"/>
        </w:trPr>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Earned / annual leave</w:t>
            </w:r>
          </w:p>
        </w:tc>
        <w:tc>
          <w:tcPr>
            <w:tcW w:type="dxa" w:w="25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1 day for every 20 days worked</w:t>
            </w:r>
          </w:p>
        </w:tc>
        <w:tc>
          <w:tcPr>
            <w:tcW w:type="dxa" w:w="21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Up to 30 days</w:t>
            </w:r>
          </w:p>
        </w:tc>
        <w:tc>
          <w:tcPr>
            <w:tcW w:type="dxa" w:w="2126"/>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Excess over 30 days at year-end; balance on exit</w:t>
            </w:r>
          </w:p>
        </w:tc>
      </w:tr>
      <w:tr>
        <w:trPr>
          <w:tblHeader w:val="off"/>
        </w:trPr>
        <w:tc>
          <w:tcPr>
            <w:tcW w:type="dxa" w:w="23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Casual leave</w:t>
            </w:r>
          </w:p>
        </w:tc>
        <w:tc>
          <w:tcPr>
            <w:tcW w:type="dxa" w:w="25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highlight w:val="yellow"/>
              </w:rPr>
              <w:t xml:space="preserve">[7]</w:t>
            </w:r>
            <w:r>
              <w:rPr>
                <w:sz w:val="20"/>
                <w:szCs w:val="20"/>
              </w:rPr>
              <w:t xml:space="preserve"> days a year</w:t>
            </w:r>
          </w:p>
        </w:tc>
        <w:tc>
          <w:tcPr>
            <w:tcW w:type="dxa" w:w="21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highlight w:val="yellow"/>
              </w:rPr>
              <w:t xml:space="preserve">[No]</w:t>
            </w:r>
          </w:p>
        </w:tc>
        <w:tc>
          <w:tcPr>
            <w:tcW w:type="dxa" w:w="21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highlight w:val="yellow"/>
              </w:rPr>
              <w:t xml:space="preserve">[No]</w:t>
            </w:r>
          </w:p>
        </w:tc>
      </w:tr>
      <w:tr>
        <w:trPr>
          <w:tblHeader w:val="off"/>
        </w:trPr>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Sick leave</w:t>
            </w:r>
          </w:p>
        </w:tc>
        <w:tc>
          <w:tcPr>
            <w:tcW w:type="dxa" w:w="25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highlight w:val="yellow"/>
              </w:rPr>
              <w:t xml:space="preserve">[7]</w:t>
            </w:r>
            <w:r>
              <w:rPr>
                <w:sz w:val="20"/>
                <w:szCs w:val="20"/>
              </w:rPr>
              <w:t xml:space="preserve"> days a year</w:t>
            </w:r>
          </w:p>
        </w:tc>
        <w:tc>
          <w:tcPr>
            <w:tcW w:type="dxa" w:w="21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highlight w:val="yellow"/>
              </w:rPr>
              <w:t xml:space="preserve">[Up to 15 days]</w:t>
            </w:r>
          </w:p>
        </w:tc>
        <w:tc>
          <w:tcPr>
            <w:tcW w:type="dxa" w:w="2126"/>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highlight w:val="yellow"/>
              </w:rPr>
              <w:t xml:space="preserve">[No]</w:t>
            </w:r>
          </w:p>
        </w:tc>
      </w:tr>
      <w:tr>
        <w:trPr>
          <w:tblHeader w:val="off"/>
        </w:trPr>
        <w:tc>
          <w:tcPr>
            <w:tcW w:type="dxa" w:w="23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Maternity leave</w:t>
            </w:r>
          </w:p>
        </w:tc>
        <w:tc>
          <w:tcPr>
            <w:tcW w:type="dxa" w:w="25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Up to 26 weeks (see 5.4)</w:t>
            </w:r>
          </w:p>
        </w:tc>
        <w:tc>
          <w:tcPr>
            <w:tcW w:type="dxa" w:w="21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Not applicable</w:t>
            </w:r>
          </w:p>
        </w:tc>
        <w:tc>
          <w:tcPr>
            <w:tcW w:type="dxa" w:w="21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Not applicable</w:t>
            </w:r>
          </w:p>
        </w:tc>
      </w:tr>
      <w:tr>
        <w:trPr>
          <w:tblHeader w:val="off"/>
        </w:trPr>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Paternity leave</w:t>
            </w:r>
          </w:p>
        </w:tc>
        <w:tc>
          <w:tcPr>
            <w:tcW w:type="dxa" w:w="25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highlight w:val="yellow"/>
              </w:rPr>
              <w:t xml:space="preserve">[5]</w:t>
            </w:r>
            <w:r>
              <w:rPr>
                <w:sz w:val="20"/>
                <w:szCs w:val="20"/>
              </w:rPr>
              <w:t xml:space="preserve"> working days</w:t>
            </w:r>
          </w:p>
        </w:tc>
        <w:tc>
          <w:tcPr>
            <w:tcW w:type="dxa" w:w="21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Not applicable</w:t>
            </w:r>
          </w:p>
        </w:tc>
        <w:tc>
          <w:tcPr>
            <w:tcW w:type="dxa" w:w="2126"/>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Not applicable</w:t>
            </w:r>
          </w:p>
        </w:tc>
      </w:tr>
      <w:tr>
        <w:trPr>
          <w:tblHeader w:val="off"/>
        </w:trPr>
        <w:tc>
          <w:tcPr>
            <w:tcW w:type="dxa" w:w="23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Bereavement leave</w:t>
            </w:r>
          </w:p>
        </w:tc>
        <w:tc>
          <w:tcPr>
            <w:tcW w:type="dxa" w:w="25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highlight w:val="yellow"/>
              </w:rPr>
              <w:t xml:space="preserve">[3]</w:t>
            </w:r>
            <w:r>
              <w:rPr>
                <w:sz w:val="20"/>
                <w:szCs w:val="20"/>
              </w:rPr>
              <w:t xml:space="preserve"> working days</w:t>
            </w:r>
          </w:p>
        </w:tc>
        <w:tc>
          <w:tcPr>
            <w:tcW w:type="dxa" w:w="21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Not applicable</w:t>
            </w:r>
          </w:p>
        </w:tc>
        <w:tc>
          <w:tcPr>
            <w:tcW w:type="dxa" w:w="21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Not applicable</w:t>
            </w:r>
          </w:p>
        </w:tc>
      </w:tr>
      <w:tr>
        <w:trPr>
          <w:tblHeader w:val="off"/>
        </w:trPr>
        <w:tc>
          <w:tcPr>
            <w:tcW w:type="dxa" w:w="23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Compensatory off</w:t>
            </w:r>
          </w:p>
        </w:tc>
        <w:tc>
          <w:tcPr>
            <w:tcW w:type="dxa" w:w="25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1 day for each weekly off or holiday worked</w:t>
            </w:r>
          </w:p>
        </w:tc>
        <w:tc>
          <w:tcPr>
            <w:tcW w:type="dxa" w:w="2100"/>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rPr>
              <w:t xml:space="preserve">Use within </w:t>
            </w:r>
            <w:r>
              <w:rPr>
                <w:sz w:val="20"/>
                <w:szCs w:val="20"/>
                <w:highlight w:val="yellow"/>
              </w:rPr>
              <w:t xml:space="preserve">[30]</w:t>
            </w:r>
            <w:r>
              <w:rPr>
                <w:sz w:val="20"/>
                <w:szCs w:val="20"/>
              </w:rPr>
              <w:t xml:space="preserve"> days</w:t>
            </w:r>
          </w:p>
        </w:tc>
        <w:tc>
          <w:tcPr>
            <w:tcW w:type="dxa" w:w="2126"/>
            <w:tcBorders>
              <w:top w:val="single" w:color="D9DEE4" w:sz="4"/>
              <w:left w:val="single" w:color="D9DEE4" w:sz="4"/>
              <w:bottom w:val="single" w:color="D9DEE4" w:sz="4"/>
              <w:right w:val="single" w:color="D9DEE4" w:sz="4"/>
            </w:tcBorders>
            <w:tcMar>
              <w:top w:type="dxa" w:w="90"/>
              <w:left w:type="dxa" w:w="120"/>
              <w:bottom w:type="dxa" w:w="90"/>
              <w:right w:type="dxa" w:w="120"/>
            </w:tcMar>
          </w:tcPr>
          <w:p>
            <w:r>
              <w:rPr>
                <w:sz w:val="20"/>
                <w:szCs w:val="20"/>
                <w:highlight w:val="yellow"/>
              </w:rPr>
              <w:t xml:space="preserve">[No]</w:t>
            </w:r>
          </w:p>
        </w:tc>
      </w:tr>
      <w:tr>
        <w:trPr>
          <w:tblHeader w:val="off"/>
        </w:trPr>
        <w:tc>
          <w:tcPr>
            <w:tcW w:type="dxa" w:w="23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Public holidays</w:t>
            </w:r>
          </w:p>
        </w:tc>
        <w:tc>
          <w:tcPr>
            <w:tcW w:type="dxa" w:w="25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highlight w:val="yellow"/>
              </w:rPr>
              <w:t xml:space="preserve">[10]</w:t>
            </w:r>
            <w:r>
              <w:rPr>
                <w:sz w:val="20"/>
                <w:szCs w:val="20"/>
              </w:rPr>
              <w:t xml:space="preserve"> days a year</w:t>
            </w:r>
          </w:p>
        </w:tc>
        <w:tc>
          <w:tcPr>
            <w:tcW w:type="dxa" w:w="2100"/>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Not applicable</w:t>
            </w:r>
          </w:p>
        </w:tc>
        <w:tc>
          <w:tcPr>
            <w:tcW w:type="dxa" w:w="2126"/>
            <w:tcBorders>
              <w:top w:val="single" w:color="D9DEE4" w:sz="4"/>
              <w:left w:val="single" w:color="D9DEE4" w:sz="4"/>
              <w:bottom w:val="single" w:color="D9DEE4" w:sz="4"/>
              <w:right w:val="single" w:color="D9DEE4" w:sz="4"/>
            </w:tcBorders>
            <w:shd w:fill="F6F8FA" w:color="auto" w:val="clear"/>
            <w:tcMar>
              <w:top w:type="dxa" w:w="90"/>
              <w:left w:type="dxa" w:w="120"/>
              <w:bottom w:type="dxa" w:w="90"/>
              <w:right w:type="dxa" w:w="120"/>
            </w:tcMar>
          </w:tcPr>
          <w:p>
            <w:r>
              <w:rPr>
                <w:sz w:val="20"/>
                <w:szCs w:val="20"/>
              </w:rPr>
              <w:t xml:space="preserve">Not applicable</w:t>
            </w:r>
          </w:p>
        </w:tc>
      </w:tr>
    </w:tbl>
    <w:p>
      <w:pPr>
        <w:pStyle w:val="Heading1"/>
      </w:pPr>
      <w:r>
        <w:t xml:space="preserve">5. Types of leave</w:t>
      </w:r>
    </w:p>
    <w:p>
      <w:pPr>
        <w:pStyle w:val="Heading2"/>
      </w:pPr>
      <w:r>
        <w:t xml:space="preserve">5.1 Earned leave (annual leave)</w:t>
      </w:r>
    </w:p>
    <w:p>
      <w:pPr>
        <w:pStyle w:val="ListParagraph"/>
        <w:numPr>
          <w:ilvl w:val="0"/>
          <w:numId w:val="2"/>
        </w:numPr>
        <w:spacing w:after="80" w:line="290"/>
      </w:pPr>
      <w:r>
        <w:t xml:space="preserve">An employee who has worked 180 days or more in a calendar year earns 1 day of earned leave for every 20 days worked. Lay-off, maternity leave and leave taken during the year count towards the 180 days.</w:t>
      </w:r>
    </w:p>
    <w:p>
      <w:pPr>
        <w:pStyle w:val="ListParagraph"/>
        <w:numPr>
          <w:ilvl w:val="0"/>
          <w:numId w:val="2"/>
        </w:numPr>
        <w:spacing w:after="80" w:line="290"/>
      </w:pPr>
      <w:r>
        <w:rPr>
          <w:highlight w:val="yellow"/>
        </w:rPr>
        <w:t xml:space="preserve">[Company Name]</w:t>
      </w:r>
      <w:r>
        <w:t xml:space="preserve"> credits earned leave </w:t>
      </w:r>
      <w:r>
        <w:rPr>
          <w:highlight w:val="yellow"/>
        </w:rPr>
        <w:t xml:space="preserve">[monthly in advance at 1.25 days a month / at the end of each month as it is earned]</w:t>
      </w:r>
      <w:r>
        <w:t xml:space="preserve">.</w:t>
      </w:r>
    </w:p>
    <w:p>
      <w:pPr>
        <w:pStyle w:val="ListParagraph"/>
        <w:numPr>
          <w:ilvl w:val="0"/>
          <w:numId w:val="2"/>
        </w:numPr>
        <w:spacing w:after="80" w:line="290"/>
      </w:pPr>
      <w:r>
        <w:t xml:space="preserve">Unused earned leave of up to 30 days is carried forward to the next leave year. Leave above 30 days at the end of the year is encashed and paid with the </w:t>
      </w:r>
      <w:r>
        <w:rPr>
          <w:highlight w:val="yellow"/>
        </w:rPr>
        <w:t xml:space="preserve">[January]</w:t>
      </w:r>
      <w:r>
        <w:t xml:space="preserve"> salary.</w:t>
      </w:r>
    </w:p>
    <w:p>
      <w:pPr>
        <w:pStyle w:val="ListParagraph"/>
        <w:numPr>
          <w:ilvl w:val="0"/>
          <w:numId w:val="2"/>
        </w:numPr>
        <w:spacing w:after="80" w:line="290"/>
      </w:pPr>
      <w:r>
        <w:t xml:space="preserve">Leave that was applied for and refused by the company is carried forward without the 30-day limit.</w:t>
      </w:r>
    </w:p>
    <w:p>
      <w:pPr>
        <w:pStyle w:val="ListParagraph"/>
        <w:numPr>
          <w:ilvl w:val="0"/>
          <w:numId w:val="2"/>
        </w:numPr>
        <w:spacing w:after="80" w:line="290"/>
      </w:pPr>
      <w:r>
        <w:t xml:space="preserve">Earned leave can be taken in up to </w:t>
      </w:r>
      <w:r>
        <w:rPr>
          <w:highlight w:val="yellow"/>
        </w:rPr>
        <w:t xml:space="preserve">[3]</w:t>
      </w:r>
      <w:r>
        <w:t xml:space="preserve"> instalments a year, with at least </w:t>
      </w:r>
      <w:r>
        <w:rPr>
          <w:highlight w:val="yellow"/>
        </w:rPr>
        <w:t xml:space="preserve">[7]</w:t>
      </w:r>
      <w:r>
        <w:t xml:space="preserve"> days' notice for planned leave.</w:t>
      </w:r>
    </w:p>
    <w:p>
      <w:pPr>
        <w:pStyle w:val="Heading2"/>
      </w:pPr>
      <w:r>
        <w:t xml:space="preserve">5.2 Casual leave</w:t>
      </w:r>
    </w:p>
    <w:p>
      <w:pPr>
        <w:pStyle w:val="ListParagraph"/>
        <w:numPr>
          <w:ilvl w:val="0"/>
          <w:numId w:val="2"/>
        </w:numPr>
        <w:spacing w:after="80" w:line="290"/>
      </w:pPr>
      <w:r>
        <w:t xml:space="preserve">Employees get </w:t>
      </w:r>
      <w:r>
        <w:rPr>
          <w:highlight w:val="yellow"/>
        </w:rPr>
        <w:t xml:space="preserve">[7]</w:t>
      </w:r>
      <w:r>
        <w:t xml:space="preserve"> days of casual leave a year, credited </w:t>
      </w:r>
      <w:r>
        <w:rPr>
          <w:highlight w:val="yellow"/>
        </w:rPr>
        <w:t xml:space="preserve">[quarterly / at the start of the year, pro-rata for new joiners]</w:t>
      </w:r>
      <w:r>
        <w:t xml:space="preserve">.</w:t>
      </w:r>
    </w:p>
    <w:p>
      <w:pPr>
        <w:pStyle w:val="ListParagraph"/>
        <w:numPr>
          <w:ilvl w:val="0"/>
          <w:numId w:val="2"/>
        </w:numPr>
        <w:spacing w:after="80" w:line="290"/>
      </w:pPr>
      <w:r>
        <w:t xml:space="preserve">Casual leave is for short, unplanned needs and cannot be taken for more than </w:t>
      </w:r>
      <w:r>
        <w:rPr>
          <w:highlight w:val="yellow"/>
        </w:rPr>
        <w:t xml:space="preserve">[3]</w:t>
      </w:r>
      <w:r>
        <w:t xml:space="preserve"> consecutive days or combined with earned leave.</w:t>
      </w:r>
    </w:p>
    <w:p>
      <w:pPr>
        <w:pStyle w:val="ListParagraph"/>
        <w:numPr>
          <w:ilvl w:val="0"/>
          <w:numId w:val="2"/>
        </w:numPr>
        <w:spacing w:after="80" w:line="290"/>
      </w:pPr>
      <w:r>
        <w:t xml:space="preserve">Unused casual leave </w:t>
      </w:r>
      <w:r>
        <w:rPr>
          <w:highlight w:val="yellow"/>
        </w:rPr>
        <w:t xml:space="preserve">[lapses at the end of the leave year and is not encashed]</w:t>
      </w:r>
      <w:r>
        <w:t xml:space="preserve">.</w:t>
      </w:r>
    </w:p>
    <w:p>
      <w:pPr>
        <w:pStyle w:val="Heading2"/>
      </w:pPr>
      <w:r>
        <w:t xml:space="preserve">5.3 Sick leave</w:t>
      </w:r>
    </w:p>
    <w:p>
      <w:pPr>
        <w:pStyle w:val="ListParagraph"/>
        <w:numPr>
          <w:ilvl w:val="0"/>
          <w:numId w:val="2"/>
        </w:numPr>
        <w:spacing w:after="80" w:line="290"/>
      </w:pPr>
      <w:r>
        <w:t xml:space="preserve">Employees get </w:t>
      </w:r>
      <w:r>
        <w:rPr>
          <w:highlight w:val="yellow"/>
        </w:rPr>
        <w:t xml:space="preserve">[7]</w:t>
      </w:r>
      <w:r>
        <w:t xml:space="preserve"> days of sick leave a year.</w:t>
      </w:r>
    </w:p>
    <w:p>
      <w:pPr>
        <w:pStyle w:val="ListParagraph"/>
        <w:numPr>
          <w:ilvl w:val="0"/>
          <w:numId w:val="2"/>
        </w:numPr>
        <w:spacing w:after="80" w:line="290"/>
      </w:pPr>
      <w:r>
        <w:t xml:space="preserve">A medical certificate from a registered medical practitioner is required for sick leave of more than </w:t>
      </w:r>
      <w:r>
        <w:rPr>
          <w:highlight w:val="yellow"/>
        </w:rPr>
        <w:t xml:space="preserve">[2]</w:t>
      </w:r>
      <w:r>
        <w:t xml:space="preserve"> consecutive days.</w:t>
      </w:r>
    </w:p>
    <w:p>
      <w:pPr>
        <w:pStyle w:val="ListParagraph"/>
        <w:numPr>
          <w:ilvl w:val="0"/>
          <w:numId w:val="2"/>
        </w:numPr>
        <w:spacing w:after="80" w:line="290"/>
      </w:pPr>
      <w:r>
        <w:t xml:space="preserve">Employees covered by ESI may also claim sickness benefit from ESIC as per ESI rules.</w:t>
      </w:r>
    </w:p>
    <w:p>
      <w:pPr>
        <w:pStyle w:val="ListParagraph"/>
        <w:numPr>
          <w:ilvl w:val="0"/>
          <w:numId w:val="2"/>
        </w:numPr>
        <w:spacing w:after="80" w:line="290"/>
      </w:pPr>
      <w:r>
        <w:t xml:space="preserve">Unused sick leave can be carried forward up to </w:t>
      </w:r>
      <w:r>
        <w:rPr>
          <w:highlight w:val="yellow"/>
        </w:rPr>
        <w:t xml:space="preserve">[15]</w:t>
      </w:r>
      <w:r>
        <w:t xml:space="preserve"> days and </w:t>
      </w:r>
      <w:r>
        <w:rPr>
          <w:highlight w:val="yellow"/>
        </w:rPr>
        <w:t xml:space="preserve">[is not]</w:t>
      </w:r>
      <w:r>
        <w:t xml:space="preserve"> encashed.</w:t>
      </w:r>
    </w:p>
    <w:p>
      <w:pPr>
        <w:pStyle w:val="Heading2"/>
      </w:pPr>
      <w:r>
        <w:t xml:space="preserve">5.4 Maternity leave</w:t>
      </w:r>
    </w:p>
    <w:p>
      <w:pPr>
        <w:pStyle w:val="ListParagraph"/>
        <w:numPr>
          <w:ilvl w:val="0"/>
          <w:numId w:val="2"/>
        </w:numPr>
        <w:spacing w:after="80" w:line="290"/>
      </w:pPr>
      <w:r>
        <w:t xml:space="preserve">Women employees who have worked at least 80 days in the 12 months before the expected delivery are entitled to maternity benefit as per the Code on Social Security, 2020.</w:t>
      </w:r>
    </w:p>
    <w:p>
      <w:pPr>
        <w:pStyle w:val="ListParagraph"/>
        <w:numPr>
          <w:ilvl w:val="0"/>
          <w:numId w:val="2"/>
        </w:numPr>
        <w:spacing w:after="80" w:line="290"/>
      </w:pPr>
      <w:r>
        <w:t xml:space="preserve">Up to 26 weeks of paid leave for the first two children, of which up to 8 weeks can be taken before the expected delivery date. For a third child onwards, up to 12 weeks.</w:t>
      </w:r>
    </w:p>
    <w:p>
      <w:pPr>
        <w:pStyle w:val="ListParagraph"/>
        <w:numPr>
          <w:ilvl w:val="0"/>
          <w:numId w:val="2"/>
        </w:numPr>
        <w:spacing w:after="80" w:line="290"/>
      </w:pPr>
      <w:r>
        <w:t xml:space="preserve">A woman who legally adopts a child below three months of age, or a commissioning mother, is entitled to 12 weeks from the date the child is handed over.</w:t>
      </w:r>
    </w:p>
    <w:p>
      <w:pPr>
        <w:pStyle w:val="ListParagraph"/>
        <w:numPr>
          <w:ilvl w:val="0"/>
          <w:numId w:val="2"/>
        </w:numPr>
        <w:spacing w:after="80" w:line="290"/>
      </w:pPr>
      <w:r>
        <w:rPr>
          <w:highlight w:val="yellow"/>
        </w:rPr>
        <w:t xml:space="preserve">[Work from home may be allowed after maternity leave where the nature of work permits, on terms agreed with the manager.]</w:t>
      </w:r>
    </w:p>
    <w:p>
      <w:pPr>
        <w:pStyle w:val="Heading2"/>
      </w:pPr>
      <w:r>
        <w:t xml:space="preserve">5.5 Paternity leave</w:t>
      </w:r>
    </w:p>
    <w:p>
      <w:pPr>
        <w:spacing w:after="120" w:line="300"/>
      </w:pPr>
      <w:r>
        <w:t xml:space="preserve">Male employees get </w:t>
      </w:r>
      <w:r>
        <w:rPr>
          <w:highlight w:val="yellow"/>
        </w:rPr>
        <w:t xml:space="preserve">[5]</w:t>
      </w:r>
      <w:r>
        <w:t xml:space="preserve"> working days of paid paternity leave, to be taken within </w:t>
      </w:r>
      <w:r>
        <w:rPr>
          <w:highlight w:val="yellow"/>
        </w:rPr>
        <w:t xml:space="preserve">[3 months]</w:t>
      </w:r>
      <w:r>
        <w:t xml:space="preserve"> of the birth or adoption of a child.</w:t>
      </w:r>
    </w:p>
    <w:p>
      <w:pPr>
        <w:pStyle w:val="Heading2"/>
      </w:pPr>
      <w:r>
        <w:t xml:space="preserve">5.6 Bereavement leave</w:t>
      </w:r>
    </w:p>
    <w:p>
      <w:pPr>
        <w:spacing w:after="120" w:line="300"/>
      </w:pPr>
      <w:r>
        <w:t xml:space="preserve">Employees get </w:t>
      </w:r>
      <w:r>
        <w:rPr>
          <w:highlight w:val="yellow"/>
        </w:rPr>
        <w:t xml:space="preserve">[3]</w:t>
      </w:r>
      <w:r>
        <w:t xml:space="preserve"> working days of paid leave on the death of an immediate family member (</w:t>
      </w:r>
      <w:r>
        <w:rPr>
          <w:highlight w:val="yellow"/>
        </w:rPr>
        <w:t xml:space="preserve">[spouse, child, parent, sibling or parent-in-law]</w:t>
      </w:r>
      <w:r>
        <w:t xml:space="preserve">).</w:t>
      </w:r>
    </w:p>
    <w:p>
      <w:pPr>
        <w:pStyle w:val="Heading2"/>
      </w:pPr>
      <w:r>
        <w:t xml:space="preserve">5.7 Compensatory off</w:t>
      </w:r>
    </w:p>
    <w:p>
      <w:pPr>
        <w:spacing w:after="120" w:line="300"/>
      </w:pPr>
      <w:r>
        <w:t xml:space="preserve">An employee asked to work on a weekly off or public holiday gets one compensatory day off, to be taken within </w:t>
      </w:r>
      <w:r>
        <w:rPr>
          <w:highlight w:val="yellow"/>
        </w:rPr>
        <w:t xml:space="preserve">[30]</w:t>
      </w:r>
      <w:r>
        <w:t xml:space="preserve"> days with the manager's approval. </w:t>
      </w:r>
      <w:r>
        <w:rPr>
          <w:highlight w:val="yellow"/>
        </w:rPr>
        <w:t xml:space="preserve">[Overtime is paid instead where the law requires it.]</w:t>
      </w:r>
    </w:p>
    <w:p>
      <w:pPr>
        <w:pStyle w:val="Heading2"/>
      </w:pPr>
      <w:r>
        <w:t xml:space="preserve">5.8 Public holidays</w:t>
      </w:r>
    </w:p>
    <w:p>
      <w:pPr>
        <w:spacing w:after="120" w:line="300"/>
      </w:pPr>
      <w:r>
        <w:rPr>
          <w:highlight w:val="yellow"/>
        </w:rPr>
        <w:t xml:space="preserve">[Company Name]</w:t>
      </w:r>
      <w:r>
        <w:t xml:space="preserve"> observes </w:t>
      </w:r>
      <w:r>
        <w:rPr>
          <w:highlight w:val="yellow"/>
        </w:rPr>
        <w:t xml:space="preserve">[10]</w:t>
      </w:r>
      <w:r>
        <w:t xml:space="preserve"> paid holidays a year, including Republic Day (26 January), Independence Day (15 August) and Gandhi Jayanti (2 October), and festival holidays as required by </w:t>
      </w:r>
      <w:r>
        <w:rPr>
          <w:highlight w:val="yellow"/>
        </w:rPr>
        <w:t xml:space="preserve">[state]</w:t>
      </w:r>
      <w:r>
        <w:t xml:space="preserve"> law. The holiday list is published by </w:t>
      </w:r>
      <w:r>
        <w:rPr>
          <w:highlight w:val="yellow"/>
        </w:rPr>
        <w:t xml:space="preserve">[15 December]</w:t>
      </w:r>
      <w:r>
        <w:t xml:space="preserve"> for the next year.</w:t>
      </w:r>
    </w:p>
    <w:p>
      <w:pPr>
        <w:pStyle w:val="Heading2"/>
      </w:pPr>
      <w:r>
        <w:t xml:space="preserve">5.9 Leave without pay</w:t>
      </w:r>
    </w:p>
    <w:p>
      <w:pPr>
        <w:spacing w:after="120" w:line="300"/>
      </w:pPr>
      <w:r>
        <w:t xml:space="preserve">When all applicable leave is used up, an employee may request leave without pay. It needs approval from </w:t>
      </w:r>
      <w:r>
        <w:rPr>
          <w:highlight w:val="yellow"/>
        </w:rPr>
        <w:t xml:space="preserve">[the reporting manager and HR]</w:t>
      </w:r>
      <w:r>
        <w:t xml:space="preserve"> and is deducted from salary on a pro-rata basis.</w:t>
      </w:r>
    </w:p>
    <w:p>
      <w:pPr>
        <w:pStyle w:val="Heading1"/>
      </w:pPr>
      <w:r>
        <w:t xml:space="preserve">6. Applying for leave</w:t>
      </w:r>
    </w:p>
    <w:p>
      <w:pPr>
        <w:pStyle w:val="ListParagraph"/>
        <w:numPr>
          <w:ilvl w:val="0"/>
          <w:numId w:val="3"/>
        </w:numPr>
        <w:spacing w:after="80" w:line="290"/>
      </w:pPr>
      <w:r>
        <w:t xml:space="preserve">Apply for leave through </w:t>
      </w:r>
      <w:r>
        <w:rPr>
          <w:highlight w:val="yellow"/>
        </w:rPr>
        <w:t xml:space="preserve">[the GoHRMS employee portal or mobile app]</w:t>
      </w:r>
      <w:r>
        <w:t xml:space="preserve"> before taking it.</w:t>
      </w:r>
    </w:p>
    <w:p>
      <w:pPr>
        <w:pStyle w:val="ListParagraph"/>
        <w:numPr>
          <w:ilvl w:val="0"/>
          <w:numId w:val="3"/>
        </w:numPr>
        <w:spacing w:after="80" w:line="290"/>
      </w:pPr>
      <w:r>
        <w:t xml:space="preserve">Give at least </w:t>
      </w:r>
      <w:r>
        <w:rPr>
          <w:highlight w:val="yellow"/>
        </w:rPr>
        <w:t xml:space="preserve">[7]</w:t>
      </w:r>
      <w:r>
        <w:t xml:space="preserve"> days' notice for planned leave of more than </w:t>
      </w:r>
      <w:r>
        <w:rPr>
          <w:highlight w:val="yellow"/>
        </w:rPr>
        <w:t xml:space="preserve">[2]</w:t>
      </w:r>
      <w:r>
        <w:t xml:space="preserve"> days.</w:t>
      </w:r>
    </w:p>
    <w:p>
      <w:pPr>
        <w:pStyle w:val="ListParagraph"/>
        <w:numPr>
          <w:ilvl w:val="0"/>
          <w:numId w:val="3"/>
        </w:numPr>
        <w:spacing w:after="80" w:line="290"/>
      </w:pPr>
      <w:r>
        <w:t xml:space="preserve">For unplanned leave, such as illness, inform the reporting manager before </w:t>
      </w:r>
      <w:r>
        <w:rPr>
          <w:highlight w:val="yellow"/>
        </w:rPr>
        <w:t xml:space="preserve">[10:00 am]</w:t>
      </w:r>
      <w:r>
        <w:t xml:space="preserve"> on the day and apply on return.</w:t>
      </w:r>
    </w:p>
    <w:p>
      <w:pPr>
        <w:pStyle w:val="ListParagraph"/>
        <w:numPr>
          <w:ilvl w:val="0"/>
          <w:numId w:val="3"/>
        </w:numPr>
        <w:spacing w:after="80" w:line="290"/>
      </w:pPr>
      <w:r>
        <w:t xml:space="preserve">The reporting manager approves or rejects the request within </w:t>
      </w:r>
      <w:r>
        <w:rPr>
          <w:highlight w:val="yellow"/>
        </w:rPr>
        <w:t xml:space="preserve">[2]</w:t>
      </w:r>
      <w:r>
        <w:t xml:space="preserve"> working days. Leave is confirmed only once approved.</w:t>
      </w:r>
    </w:p>
    <w:p>
      <w:pPr>
        <w:pStyle w:val="ListParagraph"/>
        <w:numPr>
          <w:ilvl w:val="0"/>
          <w:numId w:val="3"/>
        </w:numPr>
        <w:spacing w:after="80" w:line="290"/>
      </w:pPr>
      <w:r>
        <w:t xml:space="preserve">HR maintains leave records and balances, which employees can see at any time in </w:t>
      </w:r>
      <w:r>
        <w:rPr>
          <w:highlight w:val="yellow"/>
        </w:rPr>
        <w:t xml:space="preserve">[GoHRMS]</w:t>
      </w:r>
      <w:r>
        <w:t xml:space="preserve">.</w:t>
      </w:r>
    </w:p>
    <w:p>
      <w:pPr>
        <w:pStyle w:val="Heading1"/>
      </w:pPr>
      <w:r>
        <w:t xml:space="preserve">7. Weekly offs and holidays during leave</w:t>
      </w:r>
    </w:p>
    <w:p>
      <w:pPr>
        <w:spacing w:after="120" w:line="300"/>
      </w:pPr>
      <w:r>
        <w:t xml:space="preserve">Weekly offs and public holidays that fall within a period of leave </w:t>
      </w:r>
      <w:r>
        <w:rPr>
          <w:highlight w:val="yellow"/>
        </w:rPr>
        <w:t xml:space="preserve">[are not / are]</w:t>
      </w:r>
      <w:r>
        <w:t xml:space="preserve"> counted as leave. </w:t>
      </w:r>
      <w:r>
        <w:rPr>
          <w:highlight w:val="yellow"/>
        </w:rPr>
        <w:t xml:space="preserve">[Use one option and delete the other. Not counting them is fairer to employees and easier to explain.]</w:t>
      </w:r>
    </w:p>
    <w:p>
      <w:pPr>
        <w:pStyle w:val="Heading1"/>
      </w:pPr>
      <w:r>
        <w:t xml:space="preserve">8. Leave during probation and notice period</w:t>
      </w:r>
    </w:p>
    <w:p>
      <w:pPr>
        <w:pStyle w:val="ListParagraph"/>
        <w:numPr>
          <w:ilvl w:val="0"/>
          <w:numId w:val="2"/>
        </w:numPr>
        <w:spacing w:after="80" w:line="290"/>
      </w:pPr>
      <w:r>
        <w:t xml:space="preserve">During probation, employees </w:t>
      </w:r>
      <w:r>
        <w:rPr>
          <w:highlight w:val="yellow"/>
        </w:rPr>
        <w:t xml:space="preserve">[may take casual and sick leave; earned leave can be used after confirmation]</w:t>
      </w:r>
      <w:r>
        <w:t xml:space="preserve">.</w:t>
      </w:r>
    </w:p>
    <w:p>
      <w:pPr>
        <w:pStyle w:val="ListParagraph"/>
        <w:numPr>
          <w:ilvl w:val="0"/>
          <w:numId w:val="2"/>
        </w:numPr>
        <w:spacing w:after="80" w:line="290"/>
      </w:pPr>
      <w:r>
        <w:t xml:space="preserve">During the notice period, earned leave </w:t>
      </w:r>
      <w:r>
        <w:rPr>
          <w:highlight w:val="yellow"/>
        </w:rPr>
        <w:t xml:space="preserve">[may be taken only with the manager's approval and does not extend the last working day]</w:t>
      </w:r>
      <w:r>
        <w:t xml:space="preserve">.</w:t>
      </w:r>
    </w:p>
    <w:p>
      <w:pPr>
        <w:pStyle w:val="ListParagraph"/>
        <w:numPr>
          <w:ilvl w:val="0"/>
          <w:numId w:val="2"/>
        </w:numPr>
        <w:spacing w:after="80" w:line="290"/>
      </w:pPr>
      <w:r>
        <w:t xml:space="preserve">On exit, the balance of earned leave is encashed and paid with the final settlement within two working days of the last working day, as required by the Code on Wages, 2019.</w:t>
      </w:r>
    </w:p>
    <w:p>
      <w:pPr>
        <w:pStyle w:val="Heading1"/>
      </w:pPr>
      <w:r>
        <w:t xml:space="preserve">9. Leave encashment</w:t>
      </w:r>
    </w:p>
    <w:p>
      <w:pPr>
        <w:spacing w:after="120" w:line="300"/>
      </w:pPr>
      <w:r>
        <w:t xml:space="preserve">Leave is encashed at the daily rate of </w:t>
      </w:r>
      <w:r>
        <w:rPr>
          <w:highlight w:val="yellow"/>
        </w:rPr>
        <w:t xml:space="preserve">[basic pay plus dearness allowance]</w:t>
      </w:r>
      <w:r>
        <w:t xml:space="preserve"> divided by </w:t>
      </w:r>
      <w:r>
        <w:rPr>
          <w:highlight w:val="yellow"/>
        </w:rPr>
        <w:t xml:space="preserve">[26 / 30]</w:t>
      </w:r>
      <w:r>
        <w:t xml:space="preserve">. The same divisor is used for every encashment. Encashment is subject to tax as per the Income-tax Act.</w:t>
      </w:r>
    </w:p>
    <w:p>
      <w:pPr>
        <w:pStyle w:val="Heading1"/>
      </w:pPr>
      <w:r>
        <w:t xml:space="preserve">10. Unauthorised absence</w:t>
      </w:r>
    </w:p>
    <w:p>
      <w:pPr>
        <w:spacing w:after="120" w:line="300"/>
      </w:pPr>
      <w:r>
        <w:t xml:space="preserve">Absence without approval is treated as leave without pay. Absence of more than </w:t>
      </w:r>
      <w:r>
        <w:rPr>
          <w:highlight w:val="yellow"/>
        </w:rPr>
        <w:t xml:space="preserve">[3]</w:t>
      </w:r>
      <w:r>
        <w:t xml:space="preserve"> consecutive working days without intimation may lead to disciplinary action as per </w:t>
      </w:r>
      <w:r>
        <w:rPr>
          <w:highlight w:val="yellow"/>
        </w:rPr>
        <w:t xml:space="preserve">[the company's code of conduct / standing orders]</w:t>
      </w:r>
      <w:r>
        <w:t xml:space="preserve">.</w:t>
      </w:r>
    </w:p>
    <w:p>
      <w:pPr>
        <w:pStyle w:val="Heading1"/>
      </w:pPr>
      <w:r>
        <w:t xml:space="preserve">11. Records</w:t>
      </w:r>
    </w:p>
    <w:p>
      <w:pPr>
        <w:spacing w:after="120" w:line="300"/>
      </w:pPr>
      <w:r>
        <w:rPr>
          <w:highlight w:val="yellow"/>
        </w:rPr>
        <w:t xml:space="preserve">[Company Name]</w:t>
      </w:r>
      <w:r>
        <w:t xml:space="preserve"> maintains leave records for every employee in the form required by law, in </w:t>
      </w:r>
      <w:r>
        <w:rPr>
          <w:highlight w:val="yellow"/>
        </w:rPr>
        <w:t xml:space="preserve">[GoHRMS]</w:t>
      </w:r>
      <w:r>
        <w:t xml:space="preserve">, and keeps them for at least </w:t>
      </w:r>
      <w:r>
        <w:rPr>
          <w:highlight w:val="yellow"/>
        </w:rPr>
        <w:t xml:space="preserve">[3]</w:t>
      </w:r>
      <w:r>
        <w:t xml:space="preserve"> years or the period required by law, whichever is longer.</w:t>
      </w:r>
    </w:p>
    <w:p>
      <w:pPr>
        <w:pStyle w:val="Heading1"/>
      </w:pPr>
      <w:r>
        <w:t xml:space="preserve">12. Changes to this policy</w:t>
      </w:r>
    </w:p>
    <w:p>
      <w:pPr>
        <w:spacing w:after="120" w:line="300"/>
      </w:pPr>
      <w:r>
        <w:rPr>
          <w:highlight w:val="yellow"/>
        </w:rPr>
        <w:t xml:space="preserve">[Company Name]</w:t>
      </w:r>
      <w:r>
        <w:t xml:space="preserve"> may update this policy to reflect changes in law or business needs. Employees will be informed of any change at least </w:t>
      </w:r>
      <w:r>
        <w:rPr>
          <w:highlight w:val="yellow"/>
        </w:rPr>
        <w:t xml:space="preserve">[30]</w:t>
      </w:r>
      <w:r>
        <w:t xml:space="preserve"> days before it takes effect, except where a change in law requires an earlier date.</w:t>
      </w:r>
    </w:p>
    <w:p>
      <w:pPr>
        <w:spacing w:after="120"/>
      </w:pPr>
    </w:p>
    <w:p>
      <w:pPr>
        <w:spacing w:after="120" w:line="300"/>
      </w:pPr>
      <w:r>
        <w:rPr>
          <w:b/>
          <w:bCs/>
          <w:highlight w:val="yellow"/>
        </w:rPr>
        <w:t xml:space="preserve">[Name]</w:t>
      </w:r>
    </w:p>
    <w:p>
      <w:pPr>
        <w:spacing w:after="120" w:line="300"/>
      </w:pPr>
      <w:r>
        <w:rPr>
          <w:highlight w:val="yellow"/>
        </w:rPr>
        <w:t xml:space="preserve">[Designation]</w:t>
      </w:r>
      <w:r>
        <w:t xml:space="preserve">, </w:t>
      </w:r>
      <w:r>
        <w:rPr>
          <w:highlight w:val="yellow"/>
        </w:rPr>
        <w:t xml:space="preserve">[Company Name]</w:t>
      </w:r>
    </w:p>
    <w:p>
      <w:pPr>
        <w:spacing w:after="120" w:line="300"/>
      </w:pPr>
      <w:r>
        <w:t xml:space="preserve">Date: </w:t>
      </w:r>
      <w:r>
        <w:rPr>
          <w:highlight w:val="yellow"/>
        </w:rPr>
        <w:t xml:space="preserve">[DD Month YYYY]</w:t>
      </w:r>
    </w:p>
    <w:sectPr>
      <w:headerReference w:type="default" r:id="rId6"/>
      <w:footerReference w:type="default" r:id="rId7"/>
      <w:pgSz w:w="11906" w:h="16838"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6A3"/>
        <w:sz w:val="16"/>
        <w:szCs w:val="16"/>
      </w:rPr>
      <w:t xml:space="preserve">Template by Gizmosys Solutions (GoHRMS) | gizmosyssolutions.com | Page </w:t>
    </w:r>
    <w:r>
      <w:rPr>
        <w:color w:val="8A96A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6A3"/>
        <w:sz w:val="16"/>
        <w:szCs w:val="16"/>
        <w:highlight w:val="yellow"/>
      </w:rPr>
      <w:t xml:space="preserve">[Company Name]</w:t>
    </w:r>
    <w:r>
      <w:rPr>
        <w:color w:val="8A96A3"/>
        <w:sz w:val="16"/>
        <w:szCs w:val="16"/>
      </w:rPr>
      <w:t xml:space="preserve"> | Leave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F4C"/>
        <w:sz w:val="21"/>
        <w:szCs w:val="21"/>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Arial" w:cs="Arial" w:eastAsia="Arial" w:hAnsi="Arial"/>
      <w:b/>
      <w:bCs/>
      <w:color w:val="1F1F1F"/>
      <w:sz w:val="44"/>
      <w:szCs w:val="44"/>
    </w:rPr>
  </w:style>
  <w:style w:type="paragraph" w:styleId="Heading1">
    <w:name w:val="Heading 1"/>
    <w:basedOn w:val="Normal"/>
    <w:next w:val="Normal"/>
    <w:qFormat/>
    <w:pPr>
      <w:keepNext/>
      <w:keepLines/>
      <w:pBdr>
        <w:bottom w:val="single" w:color="04B4E4" w:sz="8" w:space="4"/>
      </w:pBdr>
      <w:spacing w:after="120" w:before="320"/>
      <w:outlineLvl w:val="0"/>
    </w:pPr>
    <w:rPr>
      <w:rFonts w:ascii="Arial" w:cs="Arial" w:eastAsia="Arial" w:hAnsi="Arial"/>
      <w:b/>
      <w:bCs/>
      <w:color w:val="1F1F1F"/>
      <w:sz w:val="28"/>
      <w:szCs w:val="28"/>
    </w:rPr>
  </w:style>
  <w:style w:type="paragraph" w:styleId="Heading2">
    <w:name w:val="Heading 2"/>
    <w:basedOn w:val="Normal"/>
    <w:next w:val="Normal"/>
    <w:qFormat/>
    <w:pPr>
      <w:keepNext/>
      <w:keepLines/>
      <w:spacing w:after="80" w:before="200"/>
      <w:outlineLvl w:val="1"/>
    </w:pPr>
    <w:rPr>
      <w:rFonts w:ascii="Arial" w:cs="Arial" w:eastAsia="Arial" w:hAnsi="Arial"/>
      <w:b/>
      <w:bCs/>
      <w:color w:val="0391B8"/>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4aa5d5201c70cd7b30ec747dfeabbdd5023542b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Policy Template (India)</dc:title>
  <dc:creator>Gizmosys Solutions</dc:creator>
  <dc:description>Leave policy template for Indian companies aligned with the labour codes</dc:description>
  <cp:lastModifiedBy>Un-named</cp:lastModifiedBy>
  <cp:revision>1</cp:revision>
  <dcterms:created xsi:type="dcterms:W3CDTF">2026-11-01T04:45:07.414Z</dcterms:created>
  <dcterms:modified xsi:type="dcterms:W3CDTF">2026-11-01T04:45:07.415Z</dcterms:modified>
</cp:coreProperties>
</file>

<file path=docProps/custom.xml><?xml version="1.0" encoding="utf-8"?>
<Properties xmlns="http://schemas.openxmlformats.org/officeDocument/2006/custom-properties" xmlns:vt="http://schemas.openxmlformats.org/officeDocument/2006/docPropsVTypes"/>
</file>