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8001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00100" cy="571500"/>
                    </a:xfrm>
                    <a:prstGeom prst="rect">
                      <a:avLst/>
                    </a:prstGeom>
                  </pic:spPr>
                </pic:pic>
              </a:graphicData>
            </a:graphic>
          </wp:inline>
        </w:drawing>
      </w:r>
    </w:p>
    <w:p>
      <w:pPr>
        <w:pStyle w:val="Title"/>
      </w:pPr>
      <w:r>
        <w:rPr>
          <w:highlight w:val="yellow"/>
        </w:rPr>
        <w:t xml:space="preserve">[Company Name]</w:t>
      </w:r>
      <w:r>
        <w:t xml:space="preserve"> Travel &amp; Expense Reimbursement Policy</w:t>
      </w:r>
    </w:p>
    <w:p>
      <w:pPr>
        <w:keepNext w:val="false"/>
        <w:spacing w:after="120" w:line="300"/>
      </w:pPr>
      <w:r>
        <w:rPr>
          <w:i/>
          <w:iCs/>
          <w:color w:val="5C6574"/>
        </w:rPr>
        <w:t xml:space="preserve">Template for Indian companies, reflecting the Income-tax Act, 2025 and GST input credit rules as of </w:t>
      </w:r>
      <w:r>
        <w:rPr>
          <w:color w:val="5C6574"/>
          <w:highlight w:val="yellow"/>
        </w:rPr>
        <w:t xml:space="preserve">[November 2026]</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FB539" w:sz="24"/>
              <w:bottom w:val="none" w:color="FFFFFF" w:sz="0"/>
              <w:right w:val="none" w:color="FFFFFF" w:sz="0"/>
            </w:tcBorders>
            <w:shd w:fill="FFF6E0" w:color="auto" w:val="clear"/>
            <w:tcMar>
              <w:top w:type="dxa" w:w="140"/>
              <w:left w:type="dxa" w:w="220"/>
              <w:bottom w:type="dxa" w:w="140"/>
              <w:right w:type="dxa" w:w="220"/>
            </w:tcMar>
          </w:tcPr>
          <w:p>
            <w:pPr>
              <w:spacing w:after="80" w:line="280"/>
            </w:pPr>
            <w:r>
              <w:rPr>
                <w:b/>
                <w:bCs/>
                <w:sz w:val="20"/>
                <w:szCs w:val="20"/>
              </w:rPr>
              <w:t xml:space="preserve">How to use this template (delete this box before publishing)</w:t>
            </w:r>
          </w:p>
          <w:p>
            <w:pPr>
              <w:spacing w:after="80" w:line="280"/>
            </w:pPr>
            <w:r>
              <w:rPr>
                <w:b w:val="false"/>
                <w:bCs w:val="false"/>
                <w:sz w:val="20"/>
                <w:szCs w:val="20"/>
              </w:rPr>
              <w:t xml:space="preserve">Replace everything highlighted in yellow. Amounts in brackets are examples to show the format, not recommendations; set limits that fit your budget, cities and grades.</w:t>
            </w:r>
          </w:p>
          <w:p>
            <w:pPr>
              <w:spacing w:after="80" w:line="280"/>
            </w:pPr>
            <w:r>
              <w:rPr>
                <w:b w:val="false"/>
                <w:bCs w:val="false"/>
                <w:sz w:val="20"/>
                <w:szCs w:val="20"/>
              </w:rPr>
              <w:t xml:space="preserve">Tax and GST treatment can change. Ask your tax adviser to review sections 11 and 12 before you publish. This template is general information, not tax or legal advice.</w:t>
            </w:r>
          </w:p>
          <w:p>
            <w:pPr>
              <w:spacing w:after="80" w:line="280"/>
            </w:pPr>
            <w:r>
              <w:rPr>
                <w:b w:val="false"/>
                <w:bCs w:val="false"/>
                <w:sz w:val="20"/>
                <w:szCs w:val="20"/>
              </w:rPr>
              <w:t xml:space="preserve">Prepared by Gizmosys Solutions (gizmosyssolutions.com).</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blHeader/>
        </w:trPr>
        <w:tc>
          <w:tcPr>
            <w:tcW w:type="dxa" w:w="2600"/>
            <w:tcBorders>
              <w:top w:val="single" w:color="D9DEE4" w:sz="4"/>
              <w:left w:val="single" w:color="D9DEE4" w:sz="4"/>
              <w:bottom w:val="single" w:color="D9DEE4" w:sz="4"/>
              <w:right w:val="single" w:color="D9DEE4" w:sz="4"/>
            </w:tcBorders>
            <w:shd w:fill="04B4E4" w:color="auto" w:val="clear"/>
            <w:tcMar>
              <w:top w:type="dxa" w:w="90"/>
              <w:left w:type="dxa" w:w="120"/>
              <w:bottom w:type="dxa" w:w="90"/>
              <w:right w:type="dxa" w:w="120"/>
            </w:tcMar>
          </w:tcPr>
          <w:p>
            <w:pPr>
              <w:keepNext/>
            </w:pPr>
            <w:r>
              <w:rPr>
                <w:b/>
                <w:bCs/>
                <w:color w:val="FFFFFF"/>
                <w:sz w:val="20"/>
                <w:szCs w:val="20"/>
              </w:rPr>
              <w:t xml:space="preserve">Document</w:t>
            </w:r>
          </w:p>
        </w:tc>
        <w:tc>
          <w:tcPr>
            <w:tcW w:type="dxa" w:w="6426"/>
            <w:tcBorders>
              <w:top w:val="single" w:color="D9DEE4" w:sz="4"/>
              <w:left w:val="single" w:color="D9DEE4" w:sz="4"/>
              <w:bottom w:val="single" w:color="D9DEE4" w:sz="4"/>
              <w:right w:val="single" w:color="D9DEE4" w:sz="4"/>
            </w:tcBorders>
            <w:shd w:fill="04B4E4" w:color="auto" w:val="clear"/>
            <w:tcMar>
              <w:top w:type="dxa" w:w="90"/>
              <w:left w:type="dxa" w:w="120"/>
              <w:bottom w:type="dxa" w:w="90"/>
              <w:right w:type="dxa" w:w="120"/>
            </w:tcMar>
          </w:tcPr>
          <w:p>
            <w:pPr>
              <w:keepNext/>
            </w:pPr>
            <w:r>
              <w:rPr>
                <w:b/>
                <w:bCs/>
                <w:color w:val="FFFFFF"/>
                <w:sz w:val="20"/>
                <w:szCs w:val="20"/>
              </w:rPr>
              <w:t xml:space="preserve">Details</w:t>
            </w:r>
          </w:p>
        </w:tc>
      </w:tr>
      <w:tr>
        <w:trPr>
          <w:cantSplit/>
          <w:tblHeader w:val="off"/>
        </w:trPr>
        <w:tc>
          <w:tcPr>
            <w:tcW w:type="dxa" w:w="26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rPr>
              <w:t xml:space="preserve">Policy owner</w:t>
            </w:r>
          </w:p>
        </w:tc>
        <w:tc>
          <w:tcPr>
            <w:tcW w:type="dxa" w:w="64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[Finance Department]</w:t>
            </w:r>
          </w:p>
        </w:tc>
      </w:tr>
      <w:tr>
        <w:trPr>
          <w:cantSplit/>
          <w:tblHeader w:val="off"/>
        </w:trPr>
        <w:tc>
          <w:tcPr>
            <w:tcW w:type="dxa" w:w="26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rPr>
              <w:t xml:space="preserve">Applies to</w:t>
            </w:r>
          </w:p>
        </w:tc>
        <w:tc>
          <w:tcPr>
            <w:tcW w:type="dxa" w:w="64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[All employees on the company payroll in India, including those on probation]</w:t>
            </w:r>
          </w:p>
        </w:tc>
      </w:tr>
      <w:tr>
        <w:trPr>
          <w:cantSplit/>
          <w:tblHeader w:val="off"/>
        </w:trPr>
        <w:tc>
          <w:tcPr>
            <w:tcW w:type="dxa" w:w="26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rPr>
              <w:t xml:space="preserve">Effective date</w:t>
            </w:r>
          </w:p>
        </w:tc>
        <w:tc>
          <w:tcPr>
            <w:tcW w:type="dxa" w:w="64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[1 December 2026]</w:t>
            </w:r>
          </w:p>
        </w:tc>
      </w:tr>
      <w:tr>
        <w:trPr>
          <w:cantSplit/>
          <w:tblHeader w:val="off"/>
        </w:trPr>
        <w:tc>
          <w:tcPr>
            <w:tcW w:type="dxa" w:w="26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rPr>
              <w:t xml:space="preserve">Version</w:t>
            </w:r>
          </w:p>
        </w:tc>
        <w:tc>
          <w:tcPr>
            <w:tcW w:type="dxa" w:w="64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[1.0]</w:t>
            </w:r>
          </w:p>
        </w:tc>
      </w:tr>
      <w:tr>
        <w:trPr>
          <w:cantSplit/>
          <w:tblHeader w:val="off"/>
        </w:trPr>
        <w:tc>
          <w:tcPr>
            <w:tcW w:type="dxa" w:w="26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rPr>
              <w:t xml:space="preserve">Approved by</w:t>
            </w:r>
          </w:p>
        </w:tc>
        <w:tc>
          <w:tcPr>
            <w:tcW w:type="dxa" w:w="64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[Name, Designation]</w:t>
            </w:r>
          </w:p>
        </w:tc>
      </w:tr>
    </w:tbl>
    <w:p>
      <w:pPr>
        <w:pStyle w:val="Heading1"/>
      </w:pPr>
      <w:r>
        <w:t xml:space="preserve">1. Purpose</w:t>
      </w:r>
    </w:p>
    <w:p>
      <w:pPr>
        <w:keepNext w:val="false"/>
        <w:spacing w:after="120" w:line="300"/>
      </w:pPr>
      <w:r>
        <w:t xml:space="preserve">This policy explains which business expenses </w:t>
      </w:r>
      <w:r>
        <w:rPr>
          <w:highlight w:val="yellow"/>
        </w:rPr>
        <w:t xml:space="preserve">[Company Name]</w:t>
      </w:r>
      <w:r>
        <w:t xml:space="preserve"> reimburses, the limits that apply, how to claim, who approves, and when claims are paid. Its aim is that no employee is out of pocket for genuine business spending, and that the company can account for every rupee and claim GST input credit where the law allows.</w:t>
      </w:r>
    </w:p>
    <w:p>
      <w:pPr>
        <w:pStyle w:val="Heading1"/>
      </w:pPr>
      <w:r>
        <w:t xml:space="preserve">2. General principles</w:t>
      </w:r>
    </w:p>
    <w:p>
      <w:pPr>
        <w:pStyle w:val="ListParagraph"/>
        <w:numPr>
          <w:ilvl w:val="0"/>
          <w:numId w:val="2"/>
        </w:numPr>
        <w:spacing w:after="80" w:line="290"/>
      </w:pPr>
      <w:r>
        <w:t xml:space="preserve">Spend company money as carefully as your own. Choose the reasonable, economical option that gets the job done.</w:t>
      </w:r>
    </w:p>
    <w:p>
      <w:pPr>
        <w:pStyle w:val="ListParagraph"/>
        <w:numPr>
          <w:ilvl w:val="0"/>
          <w:numId w:val="2"/>
        </w:numPr>
        <w:spacing w:after="80" w:line="290"/>
      </w:pPr>
      <w:r>
        <w:t xml:space="preserve">Only expenses incurred wholly for </w:t>
      </w:r>
      <w:r>
        <w:rPr>
          <w:highlight w:val="yellow"/>
        </w:rPr>
        <w:t xml:space="preserve">[Company Name]</w:t>
      </w:r>
      <w:r>
        <w:t xml:space="preserve"> business are reimbursed. Personal expenses are never reimbursed, even if incurred during a business trip.</w:t>
      </w:r>
    </w:p>
    <w:p>
      <w:pPr>
        <w:pStyle w:val="ListParagraph"/>
        <w:numPr>
          <w:ilvl w:val="0"/>
          <w:numId w:val="2"/>
        </w:numPr>
        <w:spacing w:after="80" w:line="290"/>
      </w:pPr>
      <w:r>
        <w:t xml:space="preserve">Every claim needs an original bill or receipt. Expenses below Rs </w:t>
      </w:r>
      <w:r>
        <w:rPr>
          <w:highlight w:val="yellow"/>
        </w:rPr>
        <w:t xml:space="preserve">[200]</w:t>
      </w:r>
      <w:r>
        <w:t xml:space="preserve"> without a bill (for example an auto fare) may be claimed with a self-declaration, up to Rs </w:t>
      </w:r>
      <w:r>
        <w:rPr>
          <w:highlight w:val="yellow"/>
        </w:rPr>
        <w:t xml:space="preserve">[1,000]</w:t>
      </w:r>
      <w:r>
        <w:t xml:space="preserve"> a month.</w:t>
      </w:r>
    </w:p>
    <w:p>
      <w:pPr>
        <w:pStyle w:val="ListParagraph"/>
        <w:numPr>
          <w:ilvl w:val="0"/>
          <w:numId w:val="2"/>
        </w:numPr>
        <w:spacing w:after="80" w:line="290"/>
      </w:pPr>
      <w:r>
        <w:t xml:space="preserve">Get approval before travel, and before any single expense above Rs </w:t>
      </w:r>
      <w:r>
        <w:rPr>
          <w:highlight w:val="yellow"/>
        </w:rPr>
        <w:t xml:space="preserve">[10,000]</w:t>
      </w:r>
      <w:r>
        <w:t xml:space="preserve"> that is not covered by this policy.</w:t>
      </w:r>
    </w:p>
    <w:p>
      <w:pPr>
        <w:pStyle w:val="ListParagraph"/>
        <w:numPr>
          <w:ilvl w:val="0"/>
          <w:numId w:val="2"/>
        </w:numPr>
        <w:spacing w:after="80" w:line="290"/>
      </w:pPr>
      <w:r>
        <w:t xml:space="preserve">Limits are maximums, not allowances. Claim what you actually spent.</w:t>
      </w:r>
    </w:p>
    <w:p>
      <w:pPr>
        <w:pStyle w:val="Heading1"/>
      </w:pPr>
      <w:r>
        <w:t xml:space="preserve">3. Submitting a claim</w:t>
      </w:r>
    </w:p>
    <w:p>
      <w:pPr>
        <w:pStyle w:val="ListParagraph"/>
        <w:numPr>
          <w:ilvl w:val="0"/>
          <w:numId w:val="3"/>
        </w:numPr>
        <w:spacing w:after="80" w:line="290"/>
      </w:pPr>
      <w:r>
        <w:t xml:space="preserve">Submit claims in </w:t>
      </w:r>
      <w:r>
        <w:rPr>
          <w:highlight w:val="yellow"/>
        </w:rPr>
        <w:t xml:space="preserve">[GoHRMS]</w:t>
      </w:r>
      <w:r>
        <w:t xml:space="preserve"> within </w:t>
      </w:r>
      <w:r>
        <w:rPr>
          <w:highlight w:val="yellow"/>
        </w:rPr>
        <w:t xml:space="preserve">[30]</w:t>
      </w:r>
      <w:r>
        <w:t xml:space="preserve"> days of the expense, or within </w:t>
      </w:r>
      <w:r>
        <w:rPr>
          <w:highlight w:val="yellow"/>
        </w:rPr>
        <w:t xml:space="preserve">[15]</w:t>
      </w:r>
      <w:r>
        <w:t xml:space="preserve"> days of returning from a trip. Claims older than </w:t>
      </w:r>
      <w:r>
        <w:rPr>
          <w:highlight w:val="yellow"/>
        </w:rPr>
        <w:t xml:space="preserve">[90]</w:t>
      </w:r>
      <w:r>
        <w:t xml:space="preserve"> days are not paid except with </w:t>
      </w:r>
      <w:r>
        <w:rPr>
          <w:highlight w:val="yellow"/>
        </w:rPr>
        <w:t xml:space="preserve">[CFO]</w:t>
      </w:r>
      <w:r>
        <w:t xml:space="preserve"> approval.</w:t>
      </w:r>
    </w:p>
    <w:p>
      <w:pPr>
        <w:pStyle w:val="ListParagraph"/>
        <w:numPr>
          <w:ilvl w:val="0"/>
          <w:numId w:val="3"/>
        </w:numPr>
        <w:spacing w:after="80" w:line="290"/>
      </w:pPr>
      <w:r>
        <w:t xml:space="preserve">Attach a clear photo or PDF of each bill. Keep the original for </w:t>
      </w:r>
      <w:r>
        <w:rPr>
          <w:highlight w:val="yellow"/>
        </w:rPr>
        <w:t xml:space="preserve">[6]</w:t>
      </w:r>
      <w:r>
        <w:t xml:space="preserve"> months in case Finance asks for it.</w:t>
      </w:r>
    </w:p>
    <w:p>
      <w:pPr>
        <w:pStyle w:val="ListParagraph"/>
        <w:numPr>
          <w:ilvl w:val="0"/>
          <w:numId w:val="3"/>
        </w:numPr>
        <w:spacing w:after="80" w:line="290"/>
      </w:pPr>
      <w:r>
        <w:t xml:space="preserve">Enter one line per bill, with the date, category, amount, and the business purpose (client, project or cost centre).</w:t>
      </w:r>
    </w:p>
    <w:p>
      <w:pPr>
        <w:pStyle w:val="ListParagraph"/>
        <w:numPr>
          <w:ilvl w:val="0"/>
          <w:numId w:val="3"/>
        </w:numPr>
        <w:spacing w:after="80" w:line="290"/>
      </w:pPr>
      <w:r>
        <w:t xml:space="preserve">Ask for a GST tax invoice in the company name with the company GSTIN </w:t>
      </w:r>
      <w:r>
        <w:rPr>
          <w:highlight w:val="yellow"/>
        </w:rPr>
        <w:t xml:space="preserve">[GSTIN number]</w:t>
      </w:r>
      <w:r>
        <w:t xml:space="preserve"> for flights, hotels, cab services and any expense above Rs </w:t>
      </w:r>
      <w:r>
        <w:rPr>
          <w:highlight w:val="yellow"/>
        </w:rPr>
        <w:t xml:space="preserve">[2,000]</w:t>
      </w:r>
      <w:r>
        <w:t xml:space="preserve">. The GSTIN must be for the state where the service is used, where the company is registered in that state.</w:t>
      </w:r>
    </w:p>
    <w:p>
      <w:pPr>
        <w:pStyle w:val="ListParagraph"/>
        <w:numPr>
          <w:ilvl w:val="0"/>
          <w:numId w:val="3"/>
        </w:numPr>
        <w:spacing w:after="80" w:line="290"/>
      </w:pPr>
      <w:r>
        <w:t xml:space="preserve">Do not split a bill into several claims or submit the same bill twice.</w:t>
      </w:r>
    </w:p>
    <w:p>
      <w:pPr>
        <w:pStyle w:val="Heading1"/>
      </w:pPr>
      <w:r>
        <w:t xml:space="preserve">4. Travel</w:t>
      </w:r>
    </w:p>
    <w:p>
      <w:pPr>
        <w:pStyle w:val="Heading2"/>
      </w:pPr>
      <w:r>
        <w:t xml:space="preserve">4.1 Approval and booking</w:t>
      </w:r>
    </w:p>
    <w:p>
      <w:pPr>
        <w:keepNext w:val="false"/>
        <w:spacing w:after="120" w:line="300"/>
      </w:pPr>
      <w:r>
        <w:t xml:space="preserve">Business trips need approval from </w:t>
      </w:r>
      <w:r>
        <w:rPr>
          <w:highlight w:val="yellow"/>
        </w:rPr>
        <w:t xml:space="preserve">[your reporting manager]</w:t>
      </w:r>
      <w:r>
        <w:t xml:space="preserve"> before booking. Book at least </w:t>
      </w:r>
      <w:r>
        <w:rPr>
          <w:highlight w:val="yellow"/>
        </w:rPr>
        <w:t xml:space="preserve">[7]</w:t>
      </w:r>
      <w:r>
        <w:t xml:space="preserve"> days in advance where possible. </w:t>
      </w:r>
      <w:r>
        <w:rPr>
          <w:highlight w:val="yellow"/>
        </w:rPr>
        <w:t xml:space="preserve">[Flights and hotels are booked by the admin team / through the company travel portal / by the employee]</w:t>
      </w:r>
      <w:r>
        <w:t xml:space="preserve">.</w:t>
      </w:r>
    </w:p>
    <w:p>
      <w:pPr>
        <w:pStyle w:val="Heading2"/>
      </w:pPr>
      <w:r>
        <w:t xml:space="preserve">4.2 Mode of travel by grade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300"/>
        <w:gridCol w:w="2300"/>
        <w:gridCol w:w="2226"/>
      </w:tblGrid>
      <w:tr>
        <w:trPr>
          <w:cantSplit/>
          <w:tblHeader/>
        </w:trPr>
        <w:tc>
          <w:tcPr>
            <w:tcW w:type="dxa" w:w="22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Grade</w:t>
            </w:r>
          </w:p>
        </w:tc>
        <w:tc>
          <w:tcPr>
            <w:tcW w:type="dxa" w:w="23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Air</w:t>
            </w:r>
          </w:p>
        </w:tc>
        <w:tc>
          <w:tcPr>
            <w:tcW w:type="dxa" w:w="23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Train</w:t>
            </w:r>
          </w:p>
        </w:tc>
        <w:tc>
          <w:tcPr>
            <w:tcW w:type="dxa" w:w="2226"/>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Local travel</w:t>
            </w:r>
          </w:p>
        </w:tc>
      </w:tr>
      <w:tr>
        <w:trPr>
          <w:cantSplit/>
          <w:tblHeader w:val="off"/>
        </w:trPr>
        <w:tc>
          <w:tcPr>
            <w:tcW w:type="dxa" w:w="22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[Grade 1-2 (Staff)]</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[Economy, trips over 800 km]</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[3AC]</w:t>
            </w:r>
          </w:p>
        </w:tc>
        <w:tc>
          <w:tcPr>
            <w:tcW w:type="dxa" w:w="22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[Auto / app cab (mini)]</w:t>
            </w:r>
          </w:p>
        </w:tc>
      </w:tr>
      <w:tr>
        <w:trPr>
          <w:cantSplit/>
          <w:tblHeader w:val="off"/>
        </w:trPr>
        <w:tc>
          <w:tcPr>
            <w:tcW w:type="dxa" w:w="22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[Grade 3-4 (Managers)]</w:t>
            </w:r>
          </w:p>
        </w:tc>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[Economy]</w:t>
            </w:r>
          </w:p>
        </w:tc>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[2AC]</w:t>
            </w:r>
          </w:p>
        </w:tc>
        <w:tc>
          <w:tcPr>
            <w:tcW w:type="dxa" w:w="22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[App cab (sedan)]</w:t>
            </w:r>
          </w:p>
        </w:tc>
      </w:tr>
      <w:tr>
        <w:trPr>
          <w:cantSplit/>
          <w:tblHeader w:val="off"/>
        </w:trPr>
        <w:tc>
          <w:tcPr>
            <w:tcW w:type="dxa" w:w="22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[Grade 5+ (Senior)]</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[Economy; business above 4 hours]</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[1AC]</w:t>
            </w:r>
          </w:p>
        </w:tc>
        <w:tc>
          <w:tcPr>
            <w:tcW w:type="dxa" w:w="22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[App cab (premium)]</w:t>
            </w:r>
          </w:p>
        </w:tc>
      </w:tr>
    </w:tbl>
    <w:p>
      <w:pPr>
        <w:pStyle w:val="Heading2"/>
      </w:pPr>
      <w:r>
        <w:t xml:space="preserve">4.3 Hotel limits per night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300"/>
        <w:gridCol w:w="2300"/>
        <w:gridCol w:w="2226"/>
      </w:tblGrid>
      <w:tr>
        <w:trPr>
          <w:cantSplit/>
          <w:tblHeader/>
        </w:trPr>
        <w:tc>
          <w:tcPr>
            <w:tcW w:type="dxa" w:w="22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Grade</w:t>
            </w:r>
          </w:p>
        </w:tc>
        <w:tc>
          <w:tcPr>
            <w:tcW w:type="dxa" w:w="23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[Metro cities]</w:t>
            </w:r>
          </w:p>
        </w:tc>
        <w:tc>
          <w:tcPr>
            <w:tcW w:type="dxa" w:w="23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[Tier 2 cities]</w:t>
            </w:r>
          </w:p>
        </w:tc>
        <w:tc>
          <w:tcPr>
            <w:tcW w:type="dxa" w:w="2226"/>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[Other places]</w:t>
            </w:r>
          </w:p>
        </w:tc>
      </w:tr>
      <w:tr>
        <w:trPr>
          <w:cantSplit/>
          <w:tblHeader w:val="off"/>
        </w:trPr>
        <w:tc>
          <w:tcPr>
            <w:tcW w:type="dxa" w:w="22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[Grade 1-2]</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[Rs 3,500]</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[Rs 2,500]</w:t>
            </w:r>
          </w:p>
        </w:tc>
        <w:tc>
          <w:tcPr>
            <w:tcW w:type="dxa" w:w="22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[Rs 2,000]</w:t>
            </w:r>
          </w:p>
        </w:tc>
      </w:tr>
      <w:tr>
        <w:trPr>
          <w:cantSplit/>
          <w:tblHeader w:val="off"/>
        </w:trPr>
        <w:tc>
          <w:tcPr>
            <w:tcW w:type="dxa" w:w="22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[Grade 3-4]</w:t>
            </w:r>
          </w:p>
        </w:tc>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[Rs 6,000]</w:t>
            </w:r>
          </w:p>
        </w:tc>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[Rs 4,500]</w:t>
            </w:r>
          </w:p>
        </w:tc>
        <w:tc>
          <w:tcPr>
            <w:tcW w:type="dxa" w:w="22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[Rs 3,500]</w:t>
            </w:r>
          </w:p>
        </w:tc>
      </w:tr>
      <w:tr>
        <w:trPr>
          <w:cantSplit/>
          <w:tblHeader w:val="off"/>
        </w:trPr>
        <w:tc>
          <w:tcPr>
            <w:tcW w:type="dxa" w:w="22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[Grade 5+]</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[Actuals, reasonable]</w:t>
            </w:r>
          </w:p>
        </w:tc>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[Rs 7,000]</w:t>
            </w:r>
          </w:p>
        </w:tc>
        <w:tc>
          <w:tcPr>
            <w:tcW w:type="dxa" w:w="22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[Rs 5,000]</w:t>
            </w:r>
          </w:p>
        </w:tc>
      </w:tr>
    </w:tbl>
    <w:p>
      <w:pPr>
        <w:keepNext w:val="false"/>
        <w:spacing w:after="120" w:line="300"/>
      </w:pPr>
      <w:r>
        <w:t xml:space="preserve">Limits exclude taxes. Staying with friends or family instead of a hotel is allowed </w:t>
      </w:r>
      <w:r>
        <w:rPr>
          <w:highlight w:val="yellow"/>
        </w:rPr>
        <w:t xml:space="preserve">[with a lodging allowance of Rs [750]</w:t>
      </w:r>
      <w:r>
        <w:t xml:space="preserve"> a night].</w:t>
      </w:r>
    </w:p>
    <w:p>
      <w:pPr>
        <w:pStyle w:val="Heading2"/>
      </w:pPr>
      <w:r>
        <w:t xml:space="preserve">4.4 Daily allowance (per diem) for meals and incidentals</w:t>
      </w:r>
    </w:p>
    <w:p>
      <w:pPr>
        <w:keepNext w:val="false"/>
        <w:spacing w:after="120" w:line="300"/>
      </w:pPr>
      <w:r>
        <w:t xml:space="preserve">On outstation trips, employees receive </w:t>
      </w:r>
      <w:r>
        <w:rPr>
          <w:highlight w:val="yellow"/>
        </w:rPr>
        <w:t xml:space="preserve">[a per diem of Rs [800 / 1,200 / 1,500]</w:t>
      </w:r>
      <w:r>
        <w:t xml:space="preserve"> a day by grade / reimbursement of actual meals up to the same limits]. Days of travel of less than </w:t>
      </w:r>
      <w:r>
        <w:rPr>
          <w:highlight w:val="yellow"/>
        </w:rPr>
        <w:t xml:space="preserve">[8]</w:t>
      </w:r>
      <w:r>
        <w:t xml:space="preserve"> hours are paid at </w:t>
      </w:r>
      <w:r>
        <w:rPr>
          <w:highlight w:val="yellow"/>
        </w:rPr>
        <w:t xml:space="preserve">[50%]</w:t>
      </w:r>
      <w:r>
        <w:t xml:space="preserve">. Meals provided by the hotel, client or company are not claimed again.</w:t>
      </w:r>
    </w:p>
    <w:p>
      <w:pPr>
        <w:pStyle w:val="Heading1"/>
      </w:pPr>
      <w:r>
        <w:t xml:space="preserve">5. Local conveyance</w:t>
      </w:r>
    </w:p>
    <w:p>
      <w:pPr>
        <w:pStyle w:val="ListParagraph"/>
        <w:numPr>
          <w:ilvl w:val="0"/>
          <w:numId w:val="2"/>
        </w:numPr>
        <w:spacing w:after="80" w:line="290"/>
      </w:pPr>
      <w:r>
        <w:t xml:space="preserve">Travel between the office and client sites, banks or vendors for work is reimbursed at actual cost (auto, cab, metro, parking, tolls).</w:t>
      </w:r>
    </w:p>
    <w:p>
      <w:pPr>
        <w:pStyle w:val="ListParagraph"/>
        <w:numPr>
          <w:ilvl w:val="0"/>
          <w:numId w:val="2"/>
        </w:numPr>
        <w:spacing w:after="80" w:line="290"/>
      </w:pPr>
      <w:r>
        <w:t xml:space="preserve">Use of a personal vehicle for work is reimbursed at Rs </w:t>
      </w:r>
      <w:r>
        <w:rPr>
          <w:highlight w:val="yellow"/>
        </w:rPr>
        <w:t xml:space="preserve">[10]</w:t>
      </w:r>
      <w:r>
        <w:t xml:space="preserve"> per km for a two-wheeler and Rs </w:t>
      </w:r>
      <w:r>
        <w:rPr>
          <w:highlight w:val="yellow"/>
        </w:rPr>
        <w:t xml:space="preserve">[16]</w:t>
      </w:r>
      <w:r>
        <w:t xml:space="preserve"> per km for a car, based on the trip log in </w:t>
      </w:r>
      <w:r>
        <w:rPr>
          <w:highlight w:val="yellow"/>
        </w:rPr>
        <w:t xml:space="preserve">[GoHRMS]</w:t>
      </w:r>
      <w:r>
        <w:t xml:space="preserve">.</w:t>
      </w:r>
    </w:p>
    <w:p>
      <w:pPr>
        <w:pStyle w:val="ListParagraph"/>
        <w:numPr>
          <w:ilvl w:val="0"/>
          <w:numId w:val="2"/>
        </w:numPr>
        <w:spacing w:after="80" w:line="290"/>
      </w:pPr>
      <w:r>
        <w:t xml:space="preserve">Daily travel between home and the usual place of work is not reimbursed, except </w:t>
      </w:r>
      <w:r>
        <w:rPr>
          <w:highlight w:val="yellow"/>
        </w:rPr>
        <w:t xml:space="preserve">[late-night drop after [10 pm]</w:t>
      </w:r>
      <w:r>
        <w:t xml:space="preserve"> when work requires it].</w:t>
      </w:r>
    </w:p>
    <w:p>
      <w:pPr>
        <w:pStyle w:val="Heading1"/>
      </w:pPr>
      <w:r>
        <w:t xml:space="preserve">6. Phone and internet</w:t>
      </w:r>
    </w:p>
    <w:p>
      <w:pPr>
        <w:keepNext w:val="false"/>
        <w:spacing w:after="120" w:line="300"/>
      </w:pPr>
      <w:r>
        <w:t xml:space="preserve">Employees whose role needs it are reimbursed for mobile and internet bills used for work, up to Rs </w:t>
      </w:r>
      <w:r>
        <w:rPr>
          <w:highlight w:val="yellow"/>
        </w:rPr>
        <w:t xml:space="preserve">[1,000]</w:t>
      </w:r>
      <w:r>
        <w:t xml:space="preserve"> a month, on submission of the bill in the employee's name. </w:t>
      </w:r>
      <w:r>
        <w:rPr>
          <w:highlight w:val="yellow"/>
        </w:rPr>
        <w:t xml:space="preserve">[Alternatively, the company provides a corporate SIM / connection.]</w:t>
      </w:r>
    </w:p>
    <w:p>
      <w:pPr>
        <w:pStyle w:val="Heading1"/>
      </w:pPr>
      <w:r>
        <w:t xml:space="preserve">7. Client entertainment and team events</w:t>
      </w:r>
    </w:p>
    <w:p>
      <w:pPr>
        <w:keepNext w:val="false"/>
        <w:spacing w:after="120" w:line="300"/>
      </w:pPr>
      <w:r>
        <w:t xml:space="preserve">Client meals and gifts need prior approval from </w:t>
      </w:r>
      <w:r>
        <w:rPr>
          <w:highlight w:val="yellow"/>
        </w:rPr>
        <w:t xml:space="preserve">[your department head]</w:t>
      </w:r>
      <w:r>
        <w:t xml:space="preserve"> and must name the client and the purpose. Limit: Rs </w:t>
      </w:r>
      <w:r>
        <w:rPr>
          <w:highlight w:val="yellow"/>
        </w:rPr>
        <w:t xml:space="preserve">[1,500]</w:t>
      </w:r>
      <w:r>
        <w:t xml:space="preserve"> per person per meal. Alcohol is </w:t>
      </w:r>
      <w:r>
        <w:rPr>
          <w:highlight w:val="yellow"/>
        </w:rPr>
        <w:t xml:space="preserve">[not reimbursed / reimbursed only for client entertainment approved in advance]</w:t>
      </w:r>
      <w:r>
        <w:t xml:space="preserve">. Team events follow the budget approved by </w:t>
      </w:r>
      <w:r>
        <w:rPr>
          <w:highlight w:val="yellow"/>
        </w:rPr>
        <w:t xml:space="preserve">[HR]</w:t>
      </w:r>
      <w:r>
        <w:t xml:space="preserve">.</w:t>
      </w:r>
    </w:p>
    <w:p>
      <w:pPr>
        <w:pStyle w:val="Heading1"/>
      </w:pPr>
      <w:r>
        <w:t xml:space="preserve">8. Other business expenses</w:t>
      </w:r>
    </w:p>
    <w:p>
      <w:pPr>
        <w:pStyle w:val="ListParagraph"/>
        <w:numPr>
          <w:ilvl w:val="0"/>
          <w:numId w:val="2"/>
        </w:numPr>
        <w:spacing w:after="80" w:line="290"/>
      </w:pPr>
      <w:r>
        <w:t xml:space="preserve">Courier, printing, stationery and small purchases for work, up to Rs </w:t>
      </w:r>
      <w:r>
        <w:rPr>
          <w:highlight w:val="yellow"/>
        </w:rPr>
        <w:t xml:space="preserve">[5,000]</w:t>
      </w:r>
      <w:r>
        <w:t xml:space="preserve"> per bill; above that, raise a purchase request.</w:t>
      </w:r>
    </w:p>
    <w:p>
      <w:pPr>
        <w:pStyle w:val="ListParagraph"/>
        <w:numPr>
          <w:ilvl w:val="0"/>
          <w:numId w:val="2"/>
        </w:numPr>
        <w:spacing w:after="80" w:line="290"/>
      </w:pPr>
      <w:r>
        <w:t xml:space="preserve">Visa fees, travel insurance and forex charges for approved international trips.</w:t>
      </w:r>
    </w:p>
    <w:p>
      <w:pPr>
        <w:pStyle w:val="ListParagraph"/>
        <w:numPr>
          <w:ilvl w:val="0"/>
          <w:numId w:val="2"/>
        </w:numPr>
        <w:spacing w:after="80" w:line="290"/>
      </w:pPr>
      <w:r>
        <w:t xml:space="preserve">Training, certification and conference fees approved in advance by </w:t>
      </w:r>
      <w:r>
        <w:rPr>
          <w:highlight w:val="yellow"/>
        </w:rPr>
        <w:t xml:space="preserve">[HR]</w:t>
      </w:r>
      <w:r>
        <w:t xml:space="preserve">.</w:t>
      </w:r>
    </w:p>
    <w:p>
      <w:pPr>
        <w:pStyle w:val="Heading1"/>
      </w:pPr>
      <w:r>
        <w:t xml:space="preserve">9. Not reimbursed</w:t>
      </w:r>
    </w:p>
    <w:p>
      <w:pPr>
        <w:pStyle w:val="ListParagraph"/>
        <w:numPr>
          <w:ilvl w:val="0"/>
          <w:numId w:val="2"/>
        </w:numPr>
        <w:spacing w:after="80" w:line="290"/>
      </w:pPr>
      <w:r>
        <w:t xml:space="preserve">Personal travel, family members' costs, upgrades not allowed for your grade, and extra nights for personal reasons.</w:t>
      </w:r>
    </w:p>
    <w:p>
      <w:pPr>
        <w:pStyle w:val="ListParagraph"/>
        <w:numPr>
          <w:ilvl w:val="0"/>
          <w:numId w:val="2"/>
        </w:numPr>
        <w:spacing w:after="80" w:line="290"/>
      </w:pPr>
      <w:r>
        <w:t xml:space="preserve">Fines, traffic challans, late fees and penalties.</w:t>
      </w:r>
    </w:p>
    <w:p>
      <w:pPr>
        <w:pStyle w:val="ListParagraph"/>
        <w:numPr>
          <w:ilvl w:val="0"/>
          <w:numId w:val="2"/>
        </w:numPr>
        <w:spacing w:after="80" w:line="290"/>
      </w:pPr>
      <w:r>
        <w:t xml:space="preserve">Room service items such as the minibar, laundry for trips under </w:t>
      </w:r>
      <w:r>
        <w:rPr>
          <w:highlight w:val="yellow"/>
        </w:rPr>
        <w:t xml:space="preserve">[3]</w:t>
      </w:r>
      <w:r>
        <w:t xml:space="preserve"> nights, movies and spa.</w:t>
      </w:r>
    </w:p>
    <w:p>
      <w:pPr>
        <w:pStyle w:val="ListParagraph"/>
        <w:numPr>
          <w:ilvl w:val="0"/>
          <w:numId w:val="2"/>
        </w:numPr>
        <w:spacing w:after="80" w:line="290"/>
      </w:pPr>
      <w:r>
        <w:t xml:space="preserve">Expenses without a bill (except as allowed in section 2), and claims submitted after the deadline in section 3.</w:t>
      </w:r>
    </w:p>
    <w:p>
      <w:pPr>
        <w:pStyle w:val="Heading1"/>
      </w:pPr>
      <w:r>
        <w:t xml:space="preserve">10. Advances</w:t>
      </w:r>
    </w:p>
    <w:p>
      <w:pPr>
        <w:keepNext w:val="false"/>
        <w:spacing w:after="120" w:line="300"/>
      </w:pPr>
      <w:r>
        <w:t xml:space="preserve">Employees may request a travel advance of up to </w:t>
      </w:r>
      <w:r>
        <w:rPr>
          <w:highlight w:val="yellow"/>
        </w:rPr>
        <w:t xml:space="preserve">[80]</w:t>
      </w:r>
      <w:r>
        <w:t xml:space="preserve">% of estimated costs. Advances must be settled with claims within </w:t>
      </w:r>
      <w:r>
        <w:rPr>
          <w:highlight w:val="yellow"/>
        </w:rPr>
        <w:t xml:space="preserve">[15]</w:t>
      </w:r>
      <w:r>
        <w:t xml:space="preserve"> days of returning. Unsettled advances older than </w:t>
      </w:r>
      <w:r>
        <w:rPr>
          <w:highlight w:val="yellow"/>
        </w:rPr>
        <w:t xml:space="preserve">[60]</w:t>
      </w:r>
      <w:r>
        <w:t xml:space="preserve"> days may be recovered from salary with the employee's written consent, as allowed by the Code on Wages, 2019.</w:t>
      </w:r>
    </w:p>
    <w:p>
      <w:pPr>
        <w:pStyle w:val="Heading1"/>
      </w:pPr>
      <w:r>
        <w:t xml:space="preserve">11. Approvals and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2826"/>
      </w:tblGrid>
      <w:tr>
        <w:trPr>
          <w:cantSplit/>
          <w:tblHeader/>
        </w:trPr>
        <w:tc>
          <w:tcPr>
            <w:tcW w:type="dxa" w:w="34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Claim amount</w:t>
            </w:r>
          </w:p>
        </w:tc>
        <w:tc>
          <w:tcPr>
            <w:tcW w:type="dxa" w:w="28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Approver</w:t>
            </w:r>
          </w:p>
        </w:tc>
        <w:tc>
          <w:tcPr>
            <w:tcW w:type="dxa" w:w="2826"/>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pPr>
              <w:keepNext/>
            </w:pPr>
            <w:r>
              <w:rPr>
                <w:b/>
                <w:bCs/>
                <w:color w:val="FFFFFF"/>
                <w:sz w:val="20"/>
                <w:szCs w:val="20"/>
              </w:rPr>
              <w:t xml:space="preserve">Then</w:t>
            </w:r>
          </w:p>
        </w:tc>
      </w:tr>
      <w:tr>
        <w:trPr>
          <w:cantSplit/>
          <w:tblHeader w:val="off"/>
        </w:trPr>
        <w:tc>
          <w:tcPr>
            <w:tcW w:type="dxa" w:w="34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[Up to Rs 10,000]</w:t>
            </w:r>
          </w:p>
        </w:tc>
        <w:tc>
          <w:tcPr>
            <w:tcW w:type="dxa" w:w="28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[Reporting manager]</w:t>
            </w:r>
          </w:p>
        </w:tc>
        <w:tc>
          <w:tcPr>
            <w:tcW w:type="dxa" w:w="28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pPr>
            <w:r>
              <w:rPr>
                <w:sz w:val="20"/>
                <w:szCs w:val="20"/>
                <w:highlight w:val="yellow"/>
              </w:rPr>
              <w:t xml:space="preserve">[Finance check]</w:t>
            </w:r>
          </w:p>
        </w:tc>
      </w:tr>
      <w:tr>
        <w:trPr>
          <w:cantSplit/>
          <w:tblHeader w:val="off"/>
        </w:trPr>
        <w:tc>
          <w:tcPr>
            <w:tcW w:type="dxa" w:w="34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[Rs 10,001 to Rs 50,000]</w:t>
            </w:r>
          </w:p>
        </w:tc>
        <w:tc>
          <w:tcPr>
            <w:tcW w:type="dxa" w:w="28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[Reporting manager + department head]</w:t>
            </w:r>
          </w:p>
        </w:tc>
        <w:tc>
          <w:tcPr>
            <w:tcW w:type="dxa" w:w="28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pPr>
              <w:keepNext/>
            </w:pPr>
            <w:r>
              <w:rPr>
                <w:sz w:val="20"/>
                <w:szCs w:val="20"/>
                <w:highlight w:val="yellow"/>
              </w:rPr>
              <w:t xml:space="preserve">[Finance check]</w:t>
            </w:r>
          </w:p>
        </w:tc>
      </w:tr>
      <w:tr>
        <w:trPr>
          <w:cantSplit/>
          <w:tblHeader w:val="off"/>
        </w:trPr>
        <w:tc>
          <w:tcPr>
            <w:tcW w:type="dxa" w:w="34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[Above Rs 50,000]</w:t>
            </w:r>
          </w:p>
        </w:tc>
        <w:tc>
          <w:tcPr>
            <w:tcW w:type="dxa" w:w="2800"/>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[Department head + CFO]</w:t>
            </w:r>
          </w:p>
        </w:tc>
        <w:tc>
          <w:tcPr>
            <w:tcW w:type="dxa" w:w="2826"/>
            <w:tcBorders>
              <w:top w:val="single" w:color="D9DEE4" w:sz="4"/>
              <w:left w:val="single" w:color="D9DEE4" w:sz="4"/>
              <w:bottom w:val="single" w:color="D9DEE4" w:sz="4"/>
              <w:right w:val="single" w:color="D9DEE4" w:sz="4"/>
            </w:tcBorders>
            <w:tcMar>
              <w:top w:type="dxa" w:w="90"/>
              <w:left w:type="dxa" w:w="120"/>
              <w:bottom w:type="dxa" w:w="90"/>
              <w:right w:type="dxa" w:w="120"/>
            </w:tcMar>
          </w:tcPr>
          <w:p>
            <w:pPr>
              <w:keepNext w:val="false"/>
            </w:pPr>
            <w:r>
              <w:rPr>
                <w:sz w:val="20"/>
                <w:szCs w:val="20"/>
                <w:highlight w:val="yellow"/>
              </w:rPr>
              <w:t xml:space="preserve">[Finance check]</w:t>
            </w:r>
          </w:p>
        </w:tc>
      </w:tr>
    </w:tbl>
    <w:p>
      <w:pPr>
        <w:keepNext w:val="false"/>
        <w:spacing w:after="120" w:line="300"/>
      </w:pPr>
      <w:r>
        <w:t xml:space="preserve">Approved claims are paid </w:t>
      </w:r>
      <w:r>
        <w:rPr>
          <w:highlight w:val="yellow"/>
        </w:rPr>
        <w:t xml:space="preserve">[with the next monthly salary / by bank transfer every [Friday]</w:t>
      </w:r>
      <w:r>
        <w:t xml:space="preserve">]. Managers approve or reject within </w:t>
      </w:r>
      <w:r>
        <w:rPr>
          <w:highlight w:val="yellow"/>
        </w:rPr>
        <w:t xml:space="preserve">[3]</w:t>
      </w:r>
      <w:r>
        <w:t xml:space="preserve"> working days; Finance pays within </w:t>
      </w:r>
      <w:r>
        <w:rPr>
          <w:highlight w:val="yellow"/>
        </w:rPr>
        <w:t xml:space="preserve">[7]</w:t>
      </w:r>
      <w:r>
        <w:t xml:space="preserve"> working days of approval.</w:t>
      </w:r>
    </w:p>
    <w:p>
      <w:pPr>
        <w:pStyle w:val="Heading1"/>
      </w:pPr>
      <w:r>
        <w:t xml:space="preserve">12. Tax and GST</w:t>
      </w:r>
    </w:p>
    <w:p>
      <w:pPr>
        <w:pStyle w:val="ListParagraph"/>
        <w:numPr>
          <w:ilvl w:val="0"/>
          <w:numId w:val="2"/>
        </w:numPr>
        <w:spacing w:after="80" w:line="290"/>
      </w:pPr>
      <w:r>
        <w:t xml:space="preserve">Reimbursement of actual expenses on official tours and local travel for work is not taxable salary when supported by bills. Fixed allowances paid without bills are taxable and are paid through payroll with TDS.</w:t>
      </w:r>
    </w:p>
    <w:p>
      <w:pPr>
        <w:pStyle w:val="ListParagraph"/>
        <w:numPr>
          <w:ilvl w:val="0"/>
          <w:numId w:val="2"/>
        </w:numPr>
        <w:spacing w:after="80" w:line="290"/>
      </w:pPr>
      <w:r>
        <w:t xml:space="preserve">Phone and internet bills reimbursed for work, against bills, are not treated as a taxable perquisite.</w:t>
      </w:r>
    </w:p>
    <w:p>
      <w:pPr>
        <w:pStyle w:val="ListParagraph"/>
        <w:numPr>
          <w:ilvl w:val="0"/>
          <w:numId w:val="2"/>
        </w:numPr>
        <w:spacing w:after="80" w:line="290"/>
      </w:pPr>
      <w:r>
        <w:rPr>
          <w:highlight w:val="yellow"/>
        </w:rPr>
        <w:t xml:space="preserve">[Meal vouchers of up to Rs 200 per meal are tax-free under the Income-tax Rules, 2026.]</w:t>
      </w:r>
    </w:p>
    <w:p>
      <w:pPr>
        <w:pStyle w:val="ListParagraph"/>
        <w:numPr>
          <w:ilvl w:val="0"/>
          <w:numId w:val="2"/>
        </w:numPr>
        <w:spacing w:after="80" w:line="290"/>
      </w:pPr>
      <w:r>
        <w:t xml:space="preserve">GST input credit is claimed only on valid tax invoices in the company name and GSTIN, and never on blocked items such as food and beverages or leave travel.</w:t>
      </w:r>
    </w:p>
    <w:p>
      <w:pPr>
        <w:pStyle w:val="Heading1"/>
      </w:pPr>
      <w:r>
        <w:t xml:space="preserve">13. Misuse</w:t>
      </w:r>
    </w:p>
    <w:p>
      <w:pPr>
        <w:keepNext w:val="false"/>
        <w:spacing w:after="120" w:line="300"/>
      </w:pPr>
      <w:r>
        <w:t xml:space="preserve">False, inflated or duplicate claims are treated as misconduct under </w:t>
      </w:r>
      <w:r>
        <w:rPr>
          <w:highlight w:val="yellow"/>
        </w:rPr>
        <w:t xml:space="preserve">[the company's code of conduct / standing orders]</w:t>
      </w:r>
      <w:r>
        <w:t xml:space="preserve"> and may lead to recovery of the amount and disciplinary action.</w:t>
      </w:r>
    </w:p>
    <w:p>
      <w:pPr>
        <w:pStyle w:val="Heading1"/>
      </w:pPr>
      <w:r>
        <w:t xml:space="preserve">14. Changes to this policy</w:t>
      </w:r>
    </w:p>
    <w:p>
      <w:pPr>
        <w:keepNext w:val="false"/>
        <w:spacing w:after="120" w:line="300"/>
      </w:pPr>
      <w:r>
        <w:rPr>
          <w:highlight w:val="yellow"/>
        </w:rPr>
        <w:t xml:space="preserve">[Company Name]</w:t>
      </w:r>
      <w:r>
        <w:t xml:space="preserve"> may update this policy, including limits, at any time. Employees will be told of changes at least </w:t>
      </w:r>
      <w:r>
        <w:rPr>
          <w:highlight w:val="yellow"/>
        </w:rPr>
        <w:t xml:space="preserve">[15]</w:t>
      </w:r>
      <w:r>
        <w:t xml:space="preserve"> days before they take effect.</w:t>
      </w:r>
    </w:p>
    <w:p>
      <w:pPr>
        <w:spacing w:after="120"/>
      </w:pPr>
    </w:p>
    <w:p>
      <w:pPr>
        <w:keepNext w:val="false"/>
        <w:spacing w:after="120" w:line="300"/>
      </w:pPr>
      <w:r>
        <w:rPr>
          <w:b/>
          <w:bCs/>
          <w:highlight w:val="yellow"/>
        </w:rPr>
        <w:t xml:space="preserve">[Name]</w:t>
      </w:r>
    </w:p>
    <w:p>
      <w:pPr>
        <w:keepNext w:val="false"/>
        <w:spacing w:after="120" w:line="300"/>
      </w:pPr>
      <w:r>
        <w:rPr>
          <w:highlight w:val="yellow"/>
        </w:rPr>
        <w:t xml:space="preserve">[Designation]</w:t>
      </w:r>
      <w:r>
        <w:t xml:space="preserve">, </w:t>
      </w:r>
      <w:r>
        <w:rPr>
          <w:highlight w:val="yellow"/>
        </w:rPr>
        <w:t xml:space="preserve">[Company Name]</w:t>
      </w:r>
    </w:p>
    <w:p>
      <w:pPr>
        <w:keepNext w:val="false"/>
        <w:spacing w:after="120" w:line="300"/>
      </w:pPr>
      <w:r>
        <w:t xml:space="preserve">Date: </w:t>
      </w:r>
      <w:r>
        <w:rPr>
          <w:highlight w:val="yellow"/>
        </w:rPr>
        <w:t xml:space="preserve">[DD Month YYYY]</w:t>
      </w:r>
    </w:p>
    <w:sectPr>
      <w:headerReference w:type="default" r:id="rId6"/>
      <w:footerReference w:type="default" r:id="rId7"/>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6A3"/>
        <w:sz w:val="16"/>
        <w:szCs w:val="16"/>
      </w:rPr>
      <w:t xml:space="preserve">Template by Gizmosys Solutions (GoHRMS) | gizmosyssolutions.com | Page </w:t>
    </w:r>
    <w:r>
      <w:rPr>
        <w:color w:val="8A96A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6A3"/>
        <w:sz w:val="16"/>
        <w:szCs w:val="16"/>
        <w:highlight w:val="yellow"/>
      </w:rPr>
      <w:t xml:space="preserve">[Company Name]</w:t>
    </w:r>
    <w:r>
      <w:rPr>
        <w:color w:val="8A96A3"/>
        <w:sz w:val="16"/>
        <w:szCs w:val="16"/>
      </w:rPr>
      <w:t xml:space="preserve"> | Travel &amp; Expense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F4C"/>
        <w:sz w:val="21"/>
        <w:szCs w:val="21"/>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Arial" w:cs="Arial" w:eastAsia="Arial" w:hAnsi="Arial"/>
      <w:b/>
      <w:bCs/>
      <w:color w:val="1F1F1F"/>
      <w:sz w:val="44"/>
      <w:szCs w:val="44"/>
    </w:rPr>
  </w:style>
  <w:style w:type="paragraph" w:styleId="Heading1">
    <w:name w:val="Heading 1"/>
    <w:basedOn w:val="Normal"/>
    <w:next w:val="Normal"/>
    <w:qFormat/>
    <w:pPr>
      <w:keepNext/>
      <w:keepLines/>
      <w:pBdr>
        <w:bottom w:val="single" w:color="04B4E4" w:sz="8" w:space="4"/>
      </w:pBdr>
      <w:spacing w:after="120" w:before="320"/>
      <w:outlineLvl w:val="0"/>
    </w:pPr>
    <w:rPr>
      <w:rFonts w:ascii="Arial" w:cs="Arial" w:eastAsia="Arial" w:hAnsi="Arial"/>
      <w:b/>
      <w:bCs/>
      <w:color w:val="1F1F1F"/>
      <w:sz w:val="28"/>
      <w:szCs w:val="28"/>
    </w:rPr>
  </w:style>
  <w:style w:type="paragraph" w:styleId="Heading2">
    <w:name w:val="Heading 2"/>
    <w:basedOn w:val="Normal"/>
    <w:next w:val="Normal"/>
    <w:qFormat/>
    <w:pPr>
      <w:keepNext/>
      <w:keepLines/>
      <w:spacing w:after="80" w:before="200"/>
      <w:outlineLvl w:val="1"/>
    </w:pPr>
    <w:rPr>
      <w:rFonts w:ascii="Arial" w:cs="Arial" w:eastAsia="Arial" w:hAnsi="Arial"/>
      <w:b/>
      <w:bCs/>
      <w:color w:val="0391B8"/>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4aa5d5201c70cd7b30ec747dfeabbdd5023542b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and Expense Reimbursement Policy Template (India)</dc:title>
  <dc:creator>Gizmosys Solutions</dc:creator>
  <dc:description>Expense reimbursement policy template for Indian companies</dc:description>
  <cp:lastModifiedBy>Un-named</cp:lastModifiedBy>
  <cp:revision>1</cp:revision>
  <dcterms:created xsi:type="dcterms:W3CDTF">2026-11-01T11:52:29.564Z</dcterms:created>
  <dcterms:modified xsi:type="dcterms:W3CDTF">2026-11-01T11:52:29.564Z</dcterms:modified>
</cp:coreProperties>
</file>

<file path=docProps/custom.xml><?xml version="1.0" encoding="utf-8"?>
<Properties xmlns="http://schemas.openxmlformats.org/officeDocument/2006/custom-properties" xmlns:vt="http://schemas.openxmlformats.org/officeDocument/2006/docPropsVTypes"/>
</file>